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7DF20" w14:textId="22E8493A" w:rsidR="0093416B" w:rsidRPr="0011621D" w:rsidRDefault="0093416B" w:rsidP="00667E4B">
      <w:pPr>
        <w:spacing w:before="240" w:after="0"/>
        <w:rPr>
          <w:rFonts w:cstheme="minorHAnsi"/>
        </w:rPr>
      </w:pPr>
      <w:r w:rsidRPr="0011621D">
        <w:rPr>
          <w:rFonts w:cstheme="minorHAnsi"/>
          <w:b/>
        </w:rPr>
        <w:t>Purpose:</w:t>
      </w:r>
      <w:r w:rsidRPr="0011621D">
        <w:rPr>
          <w:rFonts w:cstheme="minorHAnsi"/>
        </w:rPr>
        <w:t xml:space="preserve"> This tool will help you assess applications in preparation for our discussion to select</w:t>
      </w:r>
      <w:r w:rsidR="007C4542" w:rsidRPr="0011621D">
        <w:rPr>
          <w:rFonts w:cstheme="minorHAnsi"/>
        </w:rPr>
        <w:t xml:space="preserve"> </w:t>
      </w:r>
      <w:r w:rsidR="00A037BD" w:rsidRPr="0011621D">
        <w:rPr>
          <w:rFonts w:cstheme="minorHAnsi"/>
        </w:rPr>
        <w:t>ap</w:t>
      </w:r>
      <w:r w:rsidR="00A037BD">
        <w:rPr>
          <w:rFonts w:cstheme="minorHAnsi"/>
        </w:rPr>
        <w:t>p</w:t>
      </w:r>
      <w:r w:rsidR="00A037BD" w:rsidRPr="0011621D">
        <w:rPr>
          <w:rFonts w:cstheme="minorHAnsi"/>
        </w:rPr>
        <w:t>licants</w:t>
      </w:r>
      <w:r w:rsidRPr="0011621D">
        <w:rPr>
          <w:rFonts w:cstheme="minorHAnsi"/>
        </w:rPr>
        <w:t xml:space="preserve"> to fund. </w:t>
      </w:r>
      <w:r w:rsidR="00993465" w:rsidRPr="0011621D">
        <w:rPr>
          <w:rFonts w:cstheme="minorHAnsi"/>
        </w:rPr>
        <w:t>As you review, please keep in mind the six core principles and this initiative’s goal below. The principles and goal are meant to serve as the foundation for how the funds should be used.</w:t>
      </w:r>
    </w:p>
    <w:p w14:paraId="5EF7AC0F" w14:textId="77777777" w:rsidR="00A16FA8" w:rsidRPr="0011621D" w:rsidRDefault="00A16FA8" w:rsidP="00993465">
      <w:pPr>
        <w:spacing w:after="0"/>
        <w:rPr>
          <w:rFonts w:cstheme="minorHAnsi"/>
        </w:rPr>
      </w:pPr>
    </w:p>
    <w:p w14:paraId="5E90A8B1" w14:textId="77777777" w:rsidR="001A1A37" w:rsidRPr="0011621D" w:rsidRDefault="001A1A37" w:rsidP="001A1A37">
      <w:pPr>
        <w:spacing w:after="0"/>
        <w:rPr>
          <w:rFonts w:cstheme="minorHAnsi"/>
          <w:b/>
        </w:rPr>
      </w:pPr>
      <w:r w:rsidRPr="0011621D">
        <w:rPr>
          <w:rFonts w:cstheme="minorHAnsi"/>
          <w:b/>
        </w:rPr>
        <w:t>Core Principles</w:t>
      </w:r>
    </w:p>
    <w:p w14:paraId="6EA4880F" w14:textId="3848AEAB" w:rsidR="001A1A37" w:rsidRPr="0011621D" w:rsidRDefault="00993465" w:rsidP="00252A79">
      <w:pPr>
        <w:pStyle w:val="ListParagraph"/>
        <w:numPr>
          <w:ilvl w:val="0"/>
          <w:numId w:val="13"/>
        </w:numPr>
        <w:spacing w:after="0"/>
        <w:rPr>
          <w:rFonts w:cstheme="minorHAnsi"/>
        </w:rPr>
      </w:pPr>
      <w:r w:rsidRPr="0011621D">
        <w:rPr>
          <w:rFonts w:cstheme="minorHAnsi"/>
        </w:rPr>
        <w:t>Foster children’s health equity</w:t>
      </w:r>
    </w:p>
    <w:p w14:paraId="390487A8" w14:textId="57619A88" w:rsidR="001A1A37" w:rsidRPr="0011621D" w:rsidRDefault="001A1A37" w:rsidP="00252A79">
      <w:pPr>
        <w:pStyle w:val="ListParagraph"/>
        <w:numPr>
          <w:ilvl w:val="0"/>
          <w:numId w:val="13"/>
        </w:numPr>
        <w:tabs>
          <w:tab w:val="left" w:pos="4140"/>
        </w:tabs>
        <w:spacing w:after="0"/>
        <w:rPr>
          <w:rFonts w:cstheme="minorHAnsi"/>
        </w:rPr>
      </w:pPr>
      <w:r w:rsidRPr="0011621D">
        <w:rPr>
          <w:rFonts w:cstheme="minorHAnsi"/>
        </w:rPr>
        <w:t>Support and build community capacity</w:t>
      </w:r>
    </w:p>
    <w:p w14:paraId="7DD51A8F" w14:textId="56722706" w:rsidR="001A1A37" w:rsidRPr="0011621D" w:rsidRDefault="001A1A37" w:rsidP="00252A79">
      <w:pPr>
        <w:pStyle w:val="ListParagraph"/>
        <w:numPr>
          <w:ilvl w:val="0"/>
          <w:numId w:val="13"/>
        </w:numPr>
        <w:spacing w:after="0"/>
        <w:rPr>
          <w:rFonts w:cstheme="minorHAnsi"/>
        </w:rPr>
      </w:pPr>
      <w:r w:rsidRPr="0011621D">
        <w:rPr>
          <w:rFonts w:cstheme="minorHAnsi"/>
        </w:rPr>
        <w:t>Foster cross sec</w:t>
      </w:r>
      <w:r w:rsidR="00993465" w:rsidRPr="0011621D">
        <w:rPr>
          <w:rFonts w:cstheme="minorHAnsi"/>
        </w:rPr>
        <w:t>tor collaboration and alignment</w:t>
      </w:r>
    </w:p>
    <w:p w14:paraId="7368DAAE" w14:textId="7450064A" w:rsidR="001A1A37" w:rsidRPr="0011621D" w:rsidRDefault="001A1A37" w:rsidP="00252A79">
      <w:pPr>
        <w:pStyle w:val="ListParagraph"/>
        <w:numPr>
          <w:ilvl w:val="0"/>
          <w:numId w:val="13"/>
        </w:numPr>
        <w:spacing w:after="0"/>
        <w:rPr>
          <w:rFonts w:cstheme="minorHAnsi"/>
        </w:rPr>
      </w:pPr>
      <w:r w:rsidRPr="0011621D">
        <w:rPr>
          <w:rFonts w:cstheme="minorHAnsi"/>
        </w:rPr>
        <w:t>Build on existing st</w:t>
      </w:r>
      <w:r w:rsidR="00993465" w:rsidRPr="0011621D">
        <w:rPr>
          <w:rFonts w:cstheme="minorHAnsi"/>
        </w:rPr>
        <w:t>rengths and encourage new ideas</w:t>
      </w:r>
    </w:p>
    <w:p w14:paraId="189A336F" w14:textId="3D0E416A" w:rsidR="001A1A37" w:rsidRPr="0011621D" w:rsidRDefault="001A1A37" w:rsidP="00252A79">
      <w:pPr>
        <w:pStyle w:val="ListParagraph"/>
        <w:numPr>
          <w:ilvl w:val="0"/>
          <w:numId w:val="13"/>
        </w:numPr>
        <w:spacing w:after="0"/>
        <w:rPr>
          <w:rFonts w:cstheme="minorHAnsi"/>
        </w:rPr>
      </w:pPr>
      <w:r w:rsidRPr="0011621D">
        <w:rPr>
          <w:rFonts w:cstheme="minorHAnsi"/>
        </w:rPr>
        <w:t xml:space="preserve">Strengthen the integration of social and community health </w:t>
      </w:r>
      <w:r w:rsidR="00993465" w:rsidRPr="0011621D">
        <w:rPr>
          <w:rFonts w:cstheme="minorHAnsi"/>
        </w:rPr>
        <w:t>services, systems, and policies</w:t>
      </w:r>
    </w:p>
    <w:p w14:paraId="6EB3E44A" w14:textId="66F05526" w:rsidR="00A63C7E" w:rsidRPr="0011621D" w:rsidRDefault="001A1A37" w:rsidP="00252A79">
      <w:pPr>
        <w:pStyle w:val="ListParagraph"/>
        <w:numPr>
          <w:ilvl w:val="0"/>
          <w:numId w:val="13"/>
        </w:numPr>
        <w:spacing w:after="0"/>
        <w:rPr>
          <w:rFonts w:cstheme="minorHAnsi"/>
        </w:rPr>
      </w:pPr>
      <w:r w:rsidRPr="0011621D">
        <w:rPr>
          <w:rFonts w:cstheme="minorHAnsi"/>
        </w:rPr>
        <w:t>Enco</w:t>
      </w:r>
      <w:r w:rsidR="00993465" w:rsidRPr="0011621D">
        <w:rPr>
          <w:rFonts w:cstheme="minorHAnsi"/>
        </w:rPr>
        <w:t>urage sustainability of efforts</w:t>
      </w:r>
    </w:p>
    <w:p w14:paraId="0649E937" w14:textId="77777777" w:rsidR="00A63C7E" w:rsidRPr="0011621D" w:rsidRDefault="00A63C7E" w:rsidP="00A63C7E">
      <w:pPr>
        <w:spacing w:after="0"/>
        <w:rPr>
          <w:rFonts w:cstheme="minorHAnsi"/>
        </w:rPr>
      </w:pPr>
    </w:p>
    <w:p w14:paraId="5C84A00C" w14:textId="3F22A758" w:rsidR="00A63C7E" w:rsidRPr="0011621D" w:rsidRDefault="00993465" w:rsidP="00A63C7E">
      <w:pPr>
        <w:spacing w:after="0"/>
        <w:rPr>
          <w:rFonts w:cstheme="minorHAnsi"/>
          <w:b/>
        </w:rPr>
      </w:pPr>
      <w:r w:rsidRPr="0011621D">
        <w:rPr>
          <w:rFonts w:cstheme="minorHAnsi"/>
          <w:b/>
        </w:rPr>
        <w:t>Initiative Goal</w:t>
      </w:r>
    </w:p>
    <w:p w14:paraId="7953D4D7" w14:textId="5DB1E338" w:rsidR="0011621D" w:rsidRDefault="009C10FB" w:rsidP="0011621D">
      <w:pPr>
        <w:spacing w:after="0"/>
        <w:rPr>
          <w:rFonts w:cstheme="minorHAnsi"/>
          <w:bCs/>
        </w:rPr>
      </w:pPr>
      <w:r w:rsidRPr="0011621D">
        <w:rPr>
          <w:rFonts w:cstheme="minorHAnsi"/>
          <w:bCs/>
        </w:rPr>
        <w:t xml:space="preserve">Through this funding opportunity, Boston Children’s Hospital </w:t>
      </w:r>
      <w:r w:rsidR="0011621D" w:rsidRPr="0011621D">
        <w:rPr>
          <w:rFonts w:cstheme="minorHAnsi"/>
          <w:bCs/>
        </w:rPr>
        <w:t>aims to facilitate creative community partnership efforts that expand and diversify the pipeline of trained mental and behavioral health professionals and graduate students who work with children and youth. Projects must focus on one of two areas:</w:t>
      </w:r>
    </w:p>
    <w:p w14:paraId="18451EA8" w14:textId="77777777" w:rsidR="009204BF" w:rsidRPr="0011621D" w:rsidRDefault="009204BF" w:rsidP="0011621D">
      <w:pPr>
        <w:spacing w:after="0"/>
        <w:rPr>
          <w:rFonts w:cstheme="minorHAnsi"/>
          <w:bCs/>
        </w:rPr>
      </w:pPr>
    </w:p>
    <w:p w14:paraId="0B56E6EE" w14:textId="772F2C5D" w:rsidR="0011621D" w:rsidRDefault="0011621D" w:rsidP="0011621D">
      <w:pPr>
        <w:numPr>
          <w:ilvl w:val="0"/>
          <w:numId w:val="14"/>
        </w:numPr>
        <w:spacing w:after="0"/>
        <w:rPr>
          <w:rFonts w:cstheme="minorHAnsi"/>
          <w:b/>
          <w:bCs/>
        </w:rPr>
      </w:pPr>
      <w:r w:rsidRPr="0011621D">
        <w:rPr>
          <w:rFonts w:cstheme="minorHAnsi"/>
          <w:b/>
          <w:bCs/>
        </w:rPr>
        <w:t>Expand pathways for mental and behavioral health paraprofessionals</w:t>
      </w:r>
      <w:r>
        <w:rPr>
          <w:rStyle w:val="FootnoteReference"/>
          <w:rFonts w:cstheme="minorHAnsi"/>
          <w:b/>
          <w:bCs/>
        </w:rPr>
        <w:footnoteReference w:id="1"/>
      </w:r>
      <w:r w:rsidRPr="0011621D">
        <w:rPr>
          <w:rFonts w:cstheme="minorHAnsi"/>
          <w:b/>
          <w:bCs/>
        </w:rPr>
        <w:t xml:space="preserve"> serving children, youth, and families to enter, stay, and grow in the field. </w:t>
      </w:r>
      <w:r w:rsidRPr="0011621D">
        <w:rPr>
          <w:rFonts w:cstheme="minorHAnsi"/>
          <w:bCs/>
        </w:rPr>
        <w:t>Projects may seek to expand the use of peer paraprofessionals or coordinate a systematic approach to work and training</w:t>
      </w:r>
      <w:r w:rsidRPr="0011621D">
        <w:rPr>
          <w:rFonts w:cstheme="minorHAnsi"/>
          <w:b/>
          <w:bCs/>
        </w:rPr>
        <w:t xml:space="preserve"> </w:t>
      </w:r>
      <w:r w:rsidRPr="0011621D">
        <w:rPr>
          <w:rFonts w:cstheme="minorHAnsi"/>
          <w:bCs/>
        </w:rPr>
        <w:t>for staff in community or inpatient settings.</w:t>
      </w:r>
      <w:r w:rsidRPr="0011621D">
        <w:rPr>
          <w:rFonts w:cstheme="minorHAnsi"/>
          <w:b/>
          <w:bCs/>
        </w:rPr>
        <w:t xml:space="preserve"> </w:t>
      </w:r>
    </w:p>
    <w:p w14:paraId="2CBF1452" w14:textId="77777777" w:rsidR="00FF3140" w:rsidRPr="00FF3140" w:rsidRDefault="00FF3140" w:rsidP="00FF3140">
      <w:pPr>
        <w:spacing w:after="0"/>
        <w:ind w:left="720"/>
        <w:rPr>
          <w:rFonts w:cstheme="minorHAnsi"/>
          <w:b/>
          <w:bCs/>
        </w:rPr>
      </w:pPr>
    </w:p>
    <w:p w14:paraId="1FE5F707" w14:textId="77777777" w:rsidR="0011621D" w:rsidRPr="0011621D" w:rsidRDefault="0011621D" w:rsidP="00FF3140">
      <w:pPr>
        <w:spacing w:after="0"/>
        <w:ind w:left="720"/>
        <w:rPr>
          <w:rFonts w:cstheme="minorHAnsi"/>
          <w:b/>
          <w:bCs/>
        </w:rPr>
      </w:pPr>
      <w:r w:rsidRPr="0011621D">
        <w:rPr>
          <w:rFonts w:cstheme="minorHAnsi"/>
          <w:b/>
          <w:bCs/>
        </w:rPr>
        <w:t>Or</w:t>
      </w:r>
    </w:p>
    <w:p w14:paraId="544294B8" w14:textId="77777777" w:rsidR="0011621D" w:rsidRPr="0011621D" w:rsidRDefault="0011621D" w:rsidP="0011621D">
      <w:pPr>
        <w:spacing w:after="0"/>
        <w:rPr>
          <w:rFonts w:cstheme="minorHAnsi"/>
          <w:bCs/>
        </w:rPr>
      </w:pPr>
    </w:p>
    <w:p w14:paraId="3C1700A8" w14:textId="77777777" w:rsidR="0011621D" w:rsidRPr="0011621D" w:rsidRDefault="0011621D" w:rsidP="0011621D">
      <w:pPr>
        <w:numPr>
          <w:ilvl w:val="0"/>
          <w:numId w:val="14"/>
        </w:numPr>
        <w:spacing w:after="0"/>
        <w:rPr>
          <w:rFonts w:cstheme="minorHAnsi"/>
          <w:bCs/>
        </w:rPr>
      </w:pPr>
      <w:r w:rsidRPr="0011621D">
        <w:rPr>
          <w:rFonts w:cstheme="minorHAnsi"/>
          <w:b/>
          <w:bCs/>
        </w:rPr>
        <w:t>Help educational institutions attract and prepare diverse underrepresented graduate students or early career graduate professionals to:</w:t>
      </w:r>
    </w:p>
    <w:p w14:paraId="47F17FC1" w14:textId="77777777" w:rsidR="0011621D" w:rsidRPr="0011621D" w:rsidRDefault="0011621D" w:rsidP="0011621D">
      <w:pPr>
        <w:spacing w:after="0"/>
        <w:ind w:left="1440"/>
        <w:rPr>
          <w:rFonts w:cstheme="minorHAnsi"/>
          <w:bCs/>
        </w:rPr>
      </w:pPr>
      <w:r w:rsidRPr="0011621D">
        <w:rPr>
          <w:rFonts w:cstheme="minorHAnsi"/>
          <w:bCs/>
        </w:rPr>
        <w:t>1) pursue a master’s or doctoral degree in mental and behavioral health at a waived or reduced rate with onsite or online learning options and/or</w:t>
      </w:r>
    </w:p>
    <w:p w14:paraId="116AE2E5" w14:textId="2E69CC60" w:rsidR="0011621D" w:rsidRPr="0011621D" w:rsidRDefault="0011621D" w:rsidP="00FF3140">
      <w:pPr>
        <w:spacing w:after="0"/>
        <w:ind w:left="1440"/>
        <w:rPr>
          <w:rFonts w:cstheme="minorHAnsi"/>
          <w:bCs/>
        </w:rPr>
      </w:pPr>
      <w:r w:rsidRPr="0011621D">
        <w:rPr>
          <w:rFonts w:cstheme="minorHAnsi"/>
          <w:bCs/>
        </w:rPr>
        <w:t xml:space="preserve">2) provide cohort-based supervision and/or licensure support in community, outpatient, or inpatient settings. </w:t>
      </w:r>
    </w:p>
    <w:p w14:paraId="5AD2645B" w14:textId="0EB1C349" w:rsidR="0011621D" w:rsidRPr="009204BF" w:rsidRDefault="0011621D" w:rsidP="009204BF">
      <w:pPr>
        <w:pStyle w:val="ListParagraph"/>
        <w:spacing w:before="120" w:after="120" w:line="240" w:lineRule="auto"/>
        <w:rPr>
          <w:rFonts w:cstheme="minorHAnsi"/>
        </w:rPr>
      </w:pPr>
      <w:r w:rsidRPr="009204BF">
        <w:rPr>
          <w:rFonts w:cstheme="minorHAnsi"/>
        </w:rPr>
        <w:t xml:space="preserve">Grants will support educational institutions to work in partnership with community-based organizations serving children, youth, and/or families. </w:t>
      </w:r>
    </w:p>
    <w:p w14:paraId="4F89EB0B" w14:textId="77777777" w:rsidR="009C10FB" w:rsidRPr="0011621D" w:rsidRDefault="009C10FB" w:rsidP="00993465">
      <w:pPr>
        <w:spacing w:after="0"/>
        <w:rPr>
          <w:rFonts w:cstheme="minorHAnsi"/>
          <w:bCs/>
        </w:rPr>
      </w:pPr>
    </w:p>
    <w:p w14:paraId="2CB13EC2" w14:textId="77777777" w:rsidR="00452BE2" w:rsidRDefault="00452BE2">
      <w:pPr>
        <w:rPr>
          <w:rFonts w:cstheme="minorHAnsi"/>
          <w:b/>
        </w:rPr>
      </w:pPr>
      <w:r>
        <w:rPr>
          <w:rFonts w:cstheme="minorHAnsi"/>
          <w:b/>
        </w:rPr>
        <w:br w:type="page"/>
      </w:r>
    </w:p>
    <w:p w14:paraId="28DB9E73" w14:textId="6F18FD10" w:rsidR="00993465" w:rsidRPr="0011621D" w:rsidRDefault="00993465" w:rsidP="00993465">
      <w:pPr>
        <w:spacing w:after="0"/>
        <w:rPr>
          <w:rFonts w:cstheme="minorHAnsi"/>
          <w:b/>
        </w:rPr>
      </w:pPr>
      <w:r w:rsidRPr="0011621D">
        <w:rPr>
          <w:rFonts w:cstheme="minorHAnsi"/>
          <w:b/>
        </w:rPr>
        <w:lastRenderedPageBreak/>
        <w:t>Priority Areas</w:t>
      </w:r>
    </w:p>
    <w:p w14:paraId="641701BB" w14:textId="253769B4" w:rsidR="0011621D" w:rsidRPr="0011621D" w:rsidRDefault="0011621D" w:rsidP="00993465">
      <w:pPr>
        <w:spacing w:after="0"/>
        <w:rPr>
          <w:rFonts w:cstheme="minorHAnsi"/>
        </w:rPr>
      </w:pPr>
    </w:p>
    <w:p w14:paraId="2F7B2C32" w14:textId="59DEEA71" w:rsidR="0011621D" w:rsidRPr="009204BF" w:rsidRDefault="0011621D" w:rsidP="00993465">
      <w:pPr>
        <w:spacing w:after="0"/>
        <w:rPr>
          <w:rFonts w:cstheme="minorHAnsi"/>
        </w:rPr>
      </w:pPr>
      <w:r w:rsidRPr="009204BF">
        <w:rPr>
          <w:rFonts w:cstheme="minorHAnsi"/>
          <w:color w:val="000000" w:themeColor="text1"/>
          <w:shd w:val="clear" w:color="auto" w:fill="FFFFFF"/>
        </w:rPr>
        <w:t xml:space="preserve">Projects should engage students or paraprofessionals from underrepresented backgrounds including </w:t>
      </w:r>
      <w:r w:rsidRPr="009204BF">
        <w:rPr>
          <w:rFonts w:cstheme="minorHAnsi"/>
        </w:rPr>
        <w:t>racial, ethnic, cultural, LGBTQ+, and language backgrounds.</w:t>
      </w:r>
    </w:p>
    <w:p w14:paraId="2B4AEE0A" w14:textId="77777777" w:rsidR="0011621D" w:rsidRPr="0011621D" w:rsidRDefault="0011621D" w:rsidP="00993465">
      <w:pPr>
        <w:spacing w:after="0"/>
        <w:rPr>
          <w:rFonts w:cstheme="minorHAnsi"/>
        </w:rPr>
      </w:pPr>
    </w:p>
    <w:p w14:paraId="0C5A576E" w14:textId="1B503077" w:rsidR="00993465" w:rsidRPr="0011621D" w:rsidRDefault="009C10FB" w:rsidP="00993465">
      <w:pPr>
        <w:spacing w:after="0"/>
        <w:rPr>
          <w:rFonts w:cstheme="minorHAnsi"/>
        </w:rPr>
      </w:pPr>
      <w:r w:rsidRPr="0011621D">
        <w:rPr>
          <w:rFonts w:cstheme="minorHAnsi"/>
        </w:rPr>
        <w:t xml:space="preserve">Priority will be given to the Boston </w:t>
      </w:r>
      <w:r w:rsidR="00993465" w:rsidRPr="0011621D">
        <w:rPr>
          <w:rFonts w:cstheme="minorHAnsi"/>
        </w:rPr>
        <w:t>neighborhoods</w:t>
      </w:r>
      <w:r w:rsidRPr="0011621D">
        <w:rPr>
          <w:rFonts w:cstheme="minorHAnsi"/>
        </w:rPr>
        <w:t xml:space="preserve"> listed below</w:t>
      </w:r>
      <w:r w:rsidR="00993465" w:rsidRPr="0011621D">
        <w:rPr>
          <w:rFonts w:cstheme="minorHAnsi"/>
        </w:rPr>
        <w:t>. They have been identified as high priority neighborhoods for Boston Children’s overall funding strategy given their higher concentration of children of color and who live in low-income households.</w:t>
      </w:r>
    </w:p>
    <w:p w14:paraId="6DD7EE33" w14:textId="77777777" w:rsidR="0011621D" w:rsidRPr="0011621D" w:rsidRDefault="00B41A99" w:rsidP="00993465">
      <w:pPr>
        <w:pStyle w:val="ListParagraph"/>
        <w:numPr>
          <w:ilvl w:val="0"/>
          <w:numId w:val="12"/>
        </w:numPr>
        <w:spacing w:after="0"/>
        <w:rPr>
          <w:rFonts w:cstheme="minorHAnsi"/>
        </w:rPr>
      </w:pPr>
      <w:r w:rsidRPr="0011621D">
        <w:rPr>
          <w:rFonts w:cstheme="minorHAnsi"/>
        </w:rPr>
        <w:t>Allston</w:t>
      </w:r>
    </w:p>
    <w:p w14:paraId="5404E6A9" w14:textId="57D4D8E6" w:rsidR="00B41A99" w:rsidRPr="0011621D" w:rsidRDefault="00B41A99" w:rsidP="00993465">
      <w:pPr>
        <w:pStyle w:val="ListParagraph"/>
        <w:numPr>
          <w:ilvl w:val="0"/>
          <w:numId w:val="12"/>
        </w:numPr>
        <w:spacing w:after="0"/>
        <w:rPr>
          <w:rFonts w:cstheme="minorHAnsi"/>
        </w:rPr>
      </w:pPr>
      <w:r w:rsidRPr="0011621D">
        <w:rPr>
          <w:rFonts w:cstheme="minorHAnsi"/>
        </w:rPr>
        <w:t>Brighton</w:t>
      </w:r>
    </w:p>
    <w:p w14:paraId="2ED66890" w14:textId="6405F7EB" w:rsidR="003A18BD" w:rsidRPr="0011621D" w:rsidRDefault="003A18BD" w:rsidP="00993465">
      <w:pPr>
        <w:pStyle w:val="ListParagraph"/>
        <w:numPr>
          <w:ilvl w:val="0"/>
          <w:numId w:val="12"/>
        </w:numPr>
        <w:spacing w:after="0"/>
        <w:rPr>
          <w:rFonts w:cstheme="minorHAnsi"/>
        </w:rPr>
      </w:pPr>
      <w:r w:rsidRPr="0011621D">
        <w:rPr>
          <w:rFonts w:cstheme="minorHAnsi"/>
        </w:rPr>
        <w:t>Dorchester</w:t>
      </w:r>
    </w:p>
    <w:p w14:paraId="44CD4E28" w14:textId="2207357E" w:rsidR="003A18BD" w:rsidRPr="0011621D" w:rsidRDefault="003A18BD" w:rsidP="00993465">
      <w:pPr>
        <w:pStyle w:val="ListParagraph"/>
        <w:numPr>
          <w:ilvl w:val="0"/>
          <w:numId w:val="12"/>
        </w:numPr>
        <w:spacing w:after="0"/>
        <w:rPr>
          <w:rFonts w:cstheme="minorHAnsi"/>
        </w:rPr>
      </w:pPr>
      <w:r w:rsidRPr="0011621D">
        <w:rPr>
          <w:rFonts w:cstheme="minorHAnsi"/>
        </w:rPr>
        <w:t>East Boston</w:t>
      </w:r>
    </w:p>
    <w:p w14:paraId="3F0BF228" w14:textId="2D0F15CC" w:rsidR="003A18BD" w:rsidRPr="0011621D" w:rsidRDefault="003A18BD" w:rsidP="00993465">
      <w:pPr>
        <w:pStyle w:val="ListParagraph"/>
        <w:numPr>
          <w:ilvl w:val="0"/>
          <w:numId w:val="12"/>
        </w:numPr>
        <w:spacing w:after="0"/>
        <w:rPr>
          <w:rFonts w:cstheme="minorHAnsi"/>
        </w:rPr>
      </w:pPr>
      <w:r w:rsidRPr="0011621D">
        <w:rPr>
          <w:rFonts w:cstheme="minorHAnsi"/>
        </w:rPr>
        <w:t>Hyde Park</w:t>
      </w:r>
    </w:p>
    <w:p w14:paraId="0873C9BE" w14:textId="2CBC325B" w:rsidR="003A18BD" w:rsidRPr="0011621D" w:rsidRDefault="003A18BD" w:rsidP="003A18BD">
      <w:pPr>
        <w:pStyle w:val="ListParagraph"/>
        <w:numPr>
          <w:ilvl w:val="0"/>
          <w:numId w:val="12"/>
        </w:numPr>
        <w:spacing w:after="0"/>
        <w:rPr>
          <w:rFonts w:cstheme="minorHAnsi"/>
        </w:rPr>
      </w:pPr>
      <w:r w:rsidRPr="0011621D">
        <w:rPr>
          <w:rFonts w:cstheme="minorHAnsi"/>
        </w:rPr>
        <w:t>Jamaica Plain</w:t>
      </w:r>
    </w:p>
    <w:p w14:paraId="00D8CC8A" w14:textId="50AD9914" w:rsidR="00993465" w:rsidRPr="0011621D" w:rsidRDefault="00993465" w:rsidP="00993465">
      <w:pPr>
        <w:pStyle w:val="ListParagraph"/>
        <w:numPr>
          <w:ilvl w:val="0"/>
          <w:numId w:val="12"/>
        </w:numPr>
        <w:spacing w:after="0"/>
        <w:rPr>
          <w:rFonts w:cstheme="minorHAnsi"/>
        </w:rPr>
      </w:pPr>
      <w:r w:rsidRPr="0011621D">
        <w:rPr>
          <w:rFonts w:cstheme="minorHAnsi"/>
        </w:rPr>
        <w:t>Mattapan</w:t>
      </w:r>
    </w:p>
    <w:p w14:paraId="63095FB6" w14:textId="62BD845D" w:rsidR="003A18BD" w:rsidRPr="0011621D" w:rsidRDefault="003A18BD" w:rsidP="003A18BD">
      <w:pPr>
        <w:pStyle w:val="ListParagraph"/>
        <w:numPr>
          <w:ilvl w:val="0"/>
          <w:numId w:val="12"/>
        </w:numPr>
        <w:spacing w:after="0"/>
        <w:rPr>
          <w:rFonts w:cstheme="minorHAnsi"/>
        </w:rPr>
      </w:pPr>
      <w:r w:rsidRPr="0011621D">
        <w:rPr>
          <w:rFonts w:cstheme="minorHAnsi"/>
        </w:rPr>
        <w:t>Mission Hill</w:t>
      </w:r>
    </w:p>
    <w:p w14:paraId="182B78BE" w14:textId="77777777" w:rsidR="00993465" w:rsidRPr="0011621D" w:rsidRDefault="00993465" w:rsidP="00993465">
      <w:pPr>
        <w:pStyle w:val="ListParagraph"/>
        <w:numPr>
          <w:ilvl w:val="0"/>
          <w:numId w:val="12"/>
        </w:numPr>
        <w:spacing w:after="0"/>
        <w:rPr>
          <w:rFonts w:cstheme="minorHAnsi"/>
        </w:rPr>
      </w:pPr>
      <w:r w:rsidRPr="0011621D">
        <w:rPr>
          <w:rFonts w:cstheme="minorHAnsi"/>
        </w:rPr>
        <w:t>Roxbury</w:t>
      </w:r>
    </w:p>
    <w:p w14:paraId="19B1F6E2" w14:textId="77777777" w:rsidR="00D01DE0" w:rsidRPr="0011621D" w:rsidRDefault="00D01DE0" w:rsidP="00993465">
      <w:pPr>
        <w:spacing w:after="0" w:line="256" w:lineRule="auto"/>
        <w:rPr>
          <w:rFonts w:cstheme="minorHAnsi"/>
        </w:rPr>
      </w:pPr>
    </w:p>
    <w:p w14:paraId="61E4BA5E" w14:textId="006A093A" w:rsidR="00252A79" w:rsidRPr="0011621D" w:rsidRDefault="008B63DB" w:rsidP="00993465">
      <w:pPr>
        <w:spacing w:after="0" w:line="256" w:lineRule="auto"/>
        <w:rPr>
          <w:rFonts w:cstheme="minorHAnsi"/>
        </w:rPr>
      </w:pPr>
      <w:r w:rsidRPr="0011621D">
        <w:rPr>
          <w:rFonts w:cstheme="minorHAnsi"/>
        </w:rPr>
        <w:t xml:space="preserve">Questions? Contact </w:t>
      </w:r>
      <w:hyperlink r:id="rId8" w:history="1">
        <w:r w:rsidR="009204BF" w:rsidRPr="00C130A7">
          <w:rPr>
            <w:rStyle w:val="Hyperlink"/>
            <w:rFonts w:cstheme="minorHAnsi"/>
          </w:rPr>
          <w:t>Debbie.lay@childrens.harvard.edu</w:t>
        </w:r>
      </w:hyperlink>
      <w:r w:rsidR="009204BF">
        <w:rPr>
          <w:rFonts w:cstheme="minorHAnsi"/>
        </w:rPr>
        <w:t xml:space="preserve"> </w:t>
      </w:r>
      <w:r w:rsidR="0011621D" w:rsidRPr="0011621D">
        <w:rPr>
          <w:rFonts w:cstheme="minorHAnsi"/>
        </w:rPr>
        <w:t xml:space="preserve"> </w:t>
      </w:r>
    </w:p>
    <w:p w14:paraId="751B2489" w14:textId="77777777" w:rsidR="00252A79" w:rsidRPr="0011621D" w:rsidRDefault="00252A79" w:rsidP="00993465">
      <w:pPr>
        <w:spacing w:after="0" w:line="256" w:lineRule="auto"/>
        <w:rPr>
          <w:rFonts w:cstheme="minorHAnsi"/>
        </w:rPr>
      </w:pPr>
    </w:p>
    <w:p w14:paraId="447EFCF8" w14:textId="77777777" w:rsidR="00252A79" w:rsidRPr="0011621D" w:rsidRDefault="00252A79" w:rsidP="00993465">
      <w:pPr>
        <w:spacing w:after="0" w:line="256" w:lineRule="auto"/>
        <w:rPr>
          <w:rFonts w:cstheme="minorHAnsi"/>
          <w:b/>
        </w:rPr>
      </w:pPr>
    </w:p>
    <w:p w14:paraId="5E1636DA" w14:textId="77777777" w:rsidR="009C10FB" w:rsidRPr="0011621D" w:rsidRDefault="009C10FB" w:rsidP="00993465">
      <w:pPr>
        <w:spacing w:after="0" w:line="256" w:lineRule="auto"/>
        <w:rPr>
          <w:rFonts w:cstheme="minorHAnsi"/>
          <w:b/>
        </w:rPr>
      </w:pPr>
    </w:p>
    <w:p w14:paraId="1D83F585" w14:textId="77777777" w:rsidR="008E72A9" w:rsidRPr="0011621D" w:rsidRDefault="008E72A9" w:rsidP="00993465">
      <w:pPr>
        <w:spacing w:after="0" w:line="256" w:lineRule="auto"/>
        <w:rPr>
          <w:rFonts w:cstheme="minorHAnsi"/>
          <w:b/>
        </w:rPr>
      </w:pPr>
    </w:p>
    <w:p w14:paraId="602DDD71" w14:textId="77777777" w:rsidR="00A31014" w:rsidRPr="0011621D" w:rsidRDefault="00A31014" w:rsidP="00A31014">
      <w:pPr>
        <w:spacing w:after="0" w:line="256" w:lineRule="auto"/>
        <w:rPr>
          <w:rFonts w:cstheme="minorHAnsi"/>
          <w:b/>
        </w:rPr>
      </w:pPr>
    </w:p>
    <w:p w14:paraId="5A951629" w14:textId="62C7F399" w:rsidR="00A31014" w:rsidRPr="0011621D" w:rsidRDefault="00A31014" w:rsidP="00A31014">
      <w:pPr>
        <w:spacing w:after="0" w:line="256" w:lineRule="auto"/>
        <w:rPr>
          <w:rFonts w:cstheme="minorHAnsi"/>
          <w:b/>
        </w:rPr>
      </w:pPr>
    </w:p>
    <w:p w14:paraId="24800221" w14:textId="77777777" w:rsidR="00A31014" w:rsidRPr="0011621D" w:rsidRDefault="00A31014" w:rsidP="00667E4B">
      <w:pPr>
        <w:spacing w:after="0" w:line="256" w:lineRule="auto"/>
        <w:rPr>
          <w:rFonts w:cstheme="minorHAnsi"/>
          <w:b/>
        </w:rPr>
      </w:pPr>
    </w:p>
    <w:p w14:paraId="53B5EB5A" w14:textId="77777777" w:rsidR="009204BF" w:rsidRDefault="009204BF">
      <w:pPr>
        <w:rPr>
          <w:rFonts w:cstheme="minorHAnsi"/>
          <w:b/>
        </w:rPr>
      </w:pPr>
      <w:r>
        <w:rPr>
          <w:rFonts w:cstheme="minorHAnsi"/>
          <w:b/>
        </w:rPr>
        <w:br w:type="page"/>
      </w:r>
    </w:p>
    <w:p w14:paraId="5EA81FB0" w14:textId="54301581" w:rsidR="003973CD" w:rsidRPr="0011621D" w:rsidRDefault="003973CD" w:rsidP="00667E4B">
      <w:pPr>
        <w:spacing w:before="240"/>
        <w:rPr>
          <w:rFonts w:cstheme="minorHAnsi"/>
          <w:b/>
        </w:rPr>
      </w:pPr>
      <w:r w:rsidRPr="0011621D">
        <w:rPr>
          <w:rFonts w:cstheme="minorHAnsi"/>
          <w:b/>
        </w:rPr>
        <w:lastRenderedPageBreak/>
        <w:t>Applicant name: ___________________________________________________________________</w:t>
      </w:r>
    </w:p>
    <w:p w14:paraId="72D48C0F" w14:textId="03C5AE57" w:rsidR="00512208" w:rsidRPr="0011621D" w:rsidRDefault="001A1A37" w:rsidP="003973CD">
      <w:pPr>
        <w:numPr>
          <w:ilvl w:val="0"/>
          <w:numId w:val="2"/>
        </w:numPr>
        <w:spacing w:after="0" w:line="276" w:lineRule="auto"/>
        <w:contextualSpacing/>
        <w:rPr>
          <w:rFonts w:cstheme="minorHAnsi"/>
        </w:rPr>
      </w:pPr>
      <w:r w:rsidRPr="0011621D">
        <w:rPr>
          <w:rFonts w:cstheme="minorHAnsi"/>
          <w:b/>
        </w:rPr>
        <w:t>Abstain:</w:t>
      </w:r>
      <w:r w:rsidRPr="0011621D">
        <w:rPr>
          <w:rFonts w:cstheme="minorHAnsi"/>
          <w:b/>
          <w:bCs/>
          <w:color w:val="333333"/>
        </w:rPr>
        <w:t xml:space="preserve"> </w:t>
      </w:r>
      <w:r w:rsidR="00CC06F0" w:rsidRPr="0011621D">
        <w:rPr>
          <w:rFonts w:cstheme="minorHAnsi"/>
          <w:b/>
          <w:bCs/>
          <w:color w:val="333333"/>
        </w:rPr>
        <w:t>Select this box i</w:t>
      </w:r>
      <w:r w:rsidRPr="0011621D">
        <w:rPr>
          <w:rFonts w:cstheme="minorHAnsi"/>
          <w:b/>
          <w:bCs/>
          <w:color w:val="333333"/>
        </w:rPr>
        <w:t>f you wish to recuse yourself from review</w:t>
      </w:r>
      <w:r w:rsidR="00E06CC4" w:rsidRPr="0011621D">
        <w:rPr>
          <w:rFonts w:cstheme="minorHAnsi"/>
          <w:b/>
          <w:bCs/>
          <w:color w:val="333333"/>
        </w:rPr>
        <w:t xml:space="preserve">ing this application </w:t>
      </w:r>
      <w:r w:rsidRPr="0011621D">
        <w:rPr>
          <w:rFonts w:cstheme="minorHAnsi"/>
          <w:b/>
          <w:bCs/>
          <w:color w:val="333333"/>
        </w:rPr>
        <w:t>due to a conflict of interest. DO</w:t>
      </w:r>
      <w:r w:rsidR="005F6C5F" w:rsidRPr="0011621D">
        <w:rPr>
          <w:rFonts w:cstheme="minorHAnsi"/>
          <w:b/>
          <w:bCs/>
          <w:color w:val="333333"/>
        </w:rPr>
        <w:t xml:space="preserve"> NOT SCORE THIS PROPOSAL</w:t>
      </w:r>
      <w:r w:rsidR="00CC06F0" w:rsidRPr="0011621D">
        <w:rPr>
          <w:rFonts w:cstheme="minorHAnsi"/>
          <w:b/>
          <w:bCs/>
          <w:color w:val="333333"/>
        </w:rPr>
        <w:t>. B</w:t>
      </w:r>
      <w:r w:rsidRPr="0011621D">
        <w:rPr>
          <w:rFonts w:cstheme="minorHAnsi"/>
          <w:b/>
          <w:bCs/>
          <w:color w:val="333333"/>
        </w:rPr>
        <w:t>riefly describe the conflict then scroll down and click</w:t>
      </w:r>
      <w:r w:rsidR="003973CD" w:rsidRPr="0011621D">
        <w:rPr>
          <w:rFonts w:cstheme="minorHAnsi"/>
          <w:b/>
          <w:bCs/>
          <w:color w:val="333333"/>
        </w:rPr>
        <w:t xml:space="preserve"> Submit. </w:t>
      </w:r>
    </w:p>
    <w:p w14:paraId="5F0E1595" w14:textId="77777777" w:rsidR="003973CD" w:rsidRPr="0011621D" w:rsidRDefault="003973CD" w:rsidP="003973CD">
      <w:pPr>
        <w:spacing w:after="0" w:line="276" w:lineRule="auto"/>
        <w:ind w:left="360"/>
        <w:contextualSpacing/>
        <w:rPr>
          <w:rFonts w:cstheme="minorHAnsi"/>
        </w:rPr>
      </w:pPr>
    </w:p>
    <w:tbl>
      <w:tblPr>
        <w:tblStyle w:val="TableGrid"/>
        <w:tblW w:w="5292" w:type="pct"/>
        <w:tblInd w:w="-275" w:type="dxa"/>
        <w:tblLayout w:type="fixed"/>
        <w:tblLook w:val="04A0" w:firstRow="1" w:lastRow="0" w:firstColumn="1" w:lastColumn="0" w:noHBand="0" w:noVBand="1"/>
      </w:tblPr>
      <w:tblGrid>
        <w:gridCol w:w="3151"/>
        <w:gridCol w:w="829"/>
        <w:gridCol w:w="879"/>
        <w:gridCol w:w="966"/>
        <w:gridCol w:w="966"/>
        <w:gridCol w:w="861"/>
        <w:gridCol w:w="2244"/>
      </w:tblGrid>
      <w:tr w:rsidR="008841FA" w:rsidRPr="0011621D" w14:paraId="460D8E8E" w14:textId="77777777" w:rsidTr="00710F8A">
        <w:trPr>
          <w:trHeight w:val="55"/>
          <w:tblHeader/>
        </w:trPr>
        <w:tc>
          <w:tcPr>
            <w:tcW w:w="1592" w:type="pct"/>
            <w:shd w:val="clear" w:color="auto" w:fill="EDEDED" w:themeFill="accent3" w:themeFillTint="33"/>
          </w:tcPr>
          <w:p w14:paraId="3A5ED1F7" w14:textId="77777777" w:rsidR="00344014" w:rsidRPr="0011621D" w:rsidRDefault="00344014" w:rsidP="00344014">
            <w:pPr>
              <w:autoSpaceDE w:val="0"/>
              <w:autoSpaceDN w:val="0"/>
              <w:adjustRightInd w:val="0"/>
              <w:rPr>
                <w:rFonts w:cstheme="minorHAnsi"/>
                <w:b/>
                <w:color w:val="000000"/>
              </w:rPr>
            </w:pPr>
            <w:r w:rsidRPr="0011621D">
              <w:rPr>
                <w:rFonts w:cstheme="minorHAnsi"/>
                <w:b/>
                <w:color w:val="000000"/>
              </w:rPr>
              <w:t>Selection Criteria</w:t>
            </w:r>
          </w:p>
        </w:tc>
        <w:tc>
          <w:tcPr>
            <w:tcW w:w="2274" w:type="pct"/>
            <w:gridSpan w:val="5"/>
            <w:shd w:val="clear" w:color="auto" w:fill="EDEDED" w:themeFill="accent3" w:themeFillTint="33"/>
          </w:tcPr>
          <w:p w14:paraId="62A9CC97" w14:textId="448DDD9F" w:rsidR="00344014" w:rsidRPr="0011621D" w:rsidRDefault="0019092B" w:rsidP="00344014">
            <w:pPr>
              <w:autoSpaceDE w:val="0"/>
              <w:autoSpaceDN w:val="0"/>
              <w:adjustRightInd w:val="0"/>
              <w:rPr>
                <w:rFonts w:cstheme="minorHAnsi"/>
                <w:b/>
                <w:color w:val="000000"/>
              </w:rPr>
            </w:pPr>
            <w:r w:rsidRPr="0011621D">
              <w:rPr>
                <w:rFonts w:cstheme="minorHAnsi"/>
                <w:b/>
                <w:color w:val="000000"/>
              </w:rPr>
              <w:t xml:space="preserve">Weighted </w:t>
            </w:r>
            <w:r w:rsidR="00344014" w:rsidRPr="0011621D">
              <w:rPr>
                <w:rFonts w:cstheme="minorHAnsi"/>
                <w:b/>
                <w:color w:val="000000"/>
              </w:rPr>
              <w:t>Scale</w:t>
            </w:r>
          </w:p>
        </w:tc>
        <w:tc>
          <w:tcPr>
            <w:tcW w:w="1134" w:type="pct"/>
            <w:shd w:val="clear" w:color="auto" w:fill="EDEDED" w:themeFill="accent3" w:themeFillTint="33"/>
          </w:tcPr>
          <w:p w14:paraId="271AB139" w14:textId="2FF9B6CB" w:rsidR="00344014" w:rsidRPr="0011621D" w:rsidRDefault="00A31014" w:rsidP="00344014">
            <w:pPr>
              <w:autoSpaceDE w:val="0"/>
              <w:autoSpaceDN w:val="0"/>
              <w:adjustRightInd w:val="0"/>
              <w:rPr>
                <w:rFonts w:cstheme="minorHAnsi"/>
                <w:b/>
                <w:color w:val="000000"/>
              </w:rPr>
            </w:pPr>
            <w:r w:rsidRPr="0011621D">
              <w:rPr>
                <w:rFonts w:cstheme="minorHAnsi"/>
                <w:b/>
                <w:color w:val="000000"/>
              </w:rPr>
              <w:t>Comments</w:t>
            </w:r>
            <w:r w:rsidR="00995BB4" w:rsidRPr="0011621D">
              <w:rPr>
                <w:rFonts w:cstheme="minorHAnsi"/>
                <w:b/>
                <w:color w:val="000000"/>
              </w:rPr>
              <w:t xml:space="preserve"> (optional)</w:t>
            </w:r>
          </w:p>
        </w:tc>
      </w:tr>
      <w:tr w:rsidR="00A037BD" w:rsidRPr="0011621D" w14:paraId="46C0B35C" w14:textId="77777777" w:rsidTr="00710F8A">
        <w:trPr>
          <w:trHeight w:val="523"/>
        </w:trPr>
        <w:tc>
          <w:tcPr>
            <w:tcW w:w="1592" w:type="pct"/>
          </w:tcPr>
          <w:p w14:paraId="55F8616E" w14:textId="4ED68D02" w:rsidR="00A037BD" w:rsidRPr="0011621D" w:rsidRDefault="00A037BD" w:rsidP="00A037BD">
            <w:pPr>
              <w:autoSpaceDE w:val="0"/>
              <w:autoSpaceDN w:val="0"/>
              <w:adjustRightInd w:val="0"/>
              <w:rPr>
                <w:rFonts w:cstheme="minorHAnsi"/>
                <w:color w:val="000000"/>
              </w:rPr>
            </w:pPr>
            <w:r w:rsidRPr="0011621D">
              <w:rPr>
                <w:rFonts w:cstheme="minorHAnsi"/>
                <w:color w:val="000000"/>
              </w:rPr>
              <w:t xml:space="preserve">1. Applicant has track record of meaningful </w:t>
            </w:r>
            <w:r>
              <w:rPr>
                <w:rFonts w:cstheme="minorHAnsi"/>
                <w:color w:val="000000"/>
              </w:rPr>
              <w:t>training, supervision, and support of diverse professionals and connection to the community</w:t>
            </w:r>
            <w:r w:rsidRPr="0011621D">
              <w:rPr>
                <w:rFonts w:cstheme="minorHAnsi"/>
                <w:color w:val="000000"/>
              </w:rPr>
              <w:t xml:space="preserve">. </w:t>
            </w:r>
          </w:p>
          <w:p w14:paraId="760DC0C2" w14:textId="482D9093" w:rsidR="00A037BD" w:rsidRPr="009204BF" w:rsidRDefault="00A037BD" w:rsidP="00A037BD">
            <w:pPr>
              <w:autoSpaceDE w:val="0"/>
              <w:autoSpaceDN w:val="0"/>
              <w:adjustRightInd w:val="0"/>
              <w:rPr>
                <w:rFonts w:cstheme="minorHAnsi"/>
                <w:i/>
                <w:iCs/>
              </w:rPr>
            </w:pPr>
            <w:r w:rsidRPr="0011621D">
              <w:rPr>
                <w:rFonts w:cstheme="minorHAnsi"/>
                <w:i/>
                <w:iCs/>
              </w:rPr>
              <w:t>Q</w:t>
            </w:r>
            <w:r>
              <w:rPr>
                <w:rFonts w:cstheme="minorHAnsi"/>
                <w:i/>
                <w:iCs/>
              </w:rPr>
              <w:t xml:space="preserve"> 2, 9, 10, 15, Letters of Support under Required Uploads</w:t>
            </w:r>
          </w:p>
        </w:tc>
        <w:tc>
          <w:tcPr>
            <w:tcW w:w="419" w:type="pct"/>
            <w:vAlign w:val="center"/>
          </w:tcPr>
          <w:p w14:paraId="26FC352B" w14:textId="7777777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5.</w:t>
            </w:r>
          </w:p>
          <w:p w14:paraId="08A8CEDC" w14:textId="349073BC"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Very Good</w:t>
            </w:r>
          </w:p>
        </w:tc>
        <w:tc>
          <w:tcPr>
            <w:tcW w:w="444" w:type="pct"/>
            <w:vAlign w:val="center"/>
          </w:tcPr>
          <w:p w14:paraId="464B739A" w14:textId="7777777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4.</w:t>
            </w:r>
          </w:p>
          <w:p w14:paraId="4F14957A" w14:textId="579EC6FE"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Good</w:t>
            </w:r>
          </w:p>
        </w:tc>
        <w:tc>
          <w:tcPr>
            <w:tcW w:w="488" w:type="pct"/>
            <w:vAlign w:val="center"/>
          </w:tcPr>
          <w:p w14:paraId="48B6671F" w14:textId="7777777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3.</w:t>
            </w:r>
          </w:p>
          <w:p w14:paraId="63B75511" w14:textId="189EECCD"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Average</w:t>
            </w:r>
          </w:p>
        </w:tc>
        <w:tc>
          <w:tcPr>
            <w:tcW w:w="488" w:type="pct"/>
            <w:vAlign w:val="center"/>
          </w:tcPr>
          <w:p w14:paraId="2C743D91" w14:textId="7777777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2.</w:t>
            </w:r>
          </w:p>
          <w:p w14:paraId="0B474EA9" w14:textId="026AAEAF"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Below Average</w:t>
            </w:r>
          </w:p>
        </w:tc>
        <w:tc>
          <w:tcPr>
            <w:tcW w:w="435" w:type="pct"/>
            <w:vAlign w:val="center"/>
          </w:tcPr>
          <w:p w14:paraId="3893E72B" w14:textId="7777777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1.</w:t>
            </w:r>
          </w:p>
          <w:p w14:paraId="49A168EF" w14:textId="1D181E09"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Poor</w:t>
            </w:r>
          </w:p>
        </w:tc>
        <w:tc>
          <w:tcPr>
            <w:tcW w:w="1134" w:type="pct"/>
          </w:tcPr>
          <w:p w14:paraId="504373DD" w14:textId="08929760" w:rsidR="00A037BD" w:rsidRPr="0011621D" w:rsidRDefault="00A037BD" w:rsidP="00A037BD">
            <w:pPr>
              <w:autoSpaceDE w:val="0"/>
              <w:autoSpaceDN w:val="0"/>
              <w:adjustRightInd w:val="0"/>
              <w:rPr>
                <w:rFonts w:cstheme="minorHAnsi"/>
                <w:color w:val="000000"/>
              </w:rPr>
            </w:pPr>
          </w:p>
        </w:tc>
      </w:tr>
      <w:tr w:rsidR="00A037BD" w:rsidRPr="0011621D" w14:paraId="6A4EBBA0" w14:textId="77777777" w:rsidTr="00710F8A">
        <w:trPr>
          <w:trHeight w:val="523"/>
        </w:trPr>
        <w:tc>
          <w:tcPr>
            <w:tcW w:w="1592" w:type="pct"/>
          </w:tcPr>
          <w:p w14:paraId="79BD5B5A" w14:textId="1CF3DF20" w:rsidR="00A037BD" w:rsidRPr="0011621D" w:rsidRDefault="00A037BD" w:rsidP="00A037BD">
            <w:pPr>
              <w:autoSpaceDE w:val="0"/>
              <w:autoSpaceDN w:val="0"/>
              <w:adjustRightInd w:val="0"/>
              <w:rPr>
                <w:rFonts w:cstheme="minorHAnsi"/>
                <w:color w:val="000000"/>
              </w:rPr>
            </w:pPr>
            <w:r w:rsidRPr="0011621D">
              <w:rPr>
                <w:rFonts w:cstheme="minorHAnsi"/>
                <w:color w:val="000000"/>
              </w:rPr>
              <w:t>2. Project aligns with initiative’s strategy</w:t>
            </w:r>
            <w:r>
              <w:rPr>
                <w:rFonts w:cstheme="minorHAnsi"/>
                <w:color w:val="000000"/>
              </w:rPr>
              <w:t>,</w:t>
            </w:r>
            <w:r w:rsidRPr="0011621D">
              <w:rPr>
                <w:rFonts w:cstheme="minorHAnsi"/>
                <w:color w:val="000000"/>
              </w:rPr>
              <w:t xml:space="preserve"> priority populations</w:t>
            </w:r>
            <w:r>
              <w:rPr>
                <w:rFonts w:cstheme="minorHAnsi"/>
                <w:color w:val="000000"/>
              </w:rPr>
              <w:t>, and priority geographies</w:t>
            </w:r>
            <w:r w:rsidRPr="0011621D">
              <w:rPr>
                <w:rFonts w:cstheme="minorHAnsi"/>
                <w:color w:val="000000"/>
              </w:rPr>
              <w:t>.</w:t>
            </w:r>
          </w:p>
          <w:p w14:paraId="53E7C8A7" w14:textId="72EB479D" w:rsidR="00A037BD" w:rsidRPr="0011621D" w:rsidRDefault="00A037BD" w:rsidP="00A037BD">
            <w:pPr>
              <w:autoSpaceDE w:val="0"/>
              <w:autoSpaceDN w:val="0"/>
              <w:adjustRightInd w:val="0"/>
              <w:rPr>
                <w:rFonts w:cstheme="minorHAnsi"/>
                <w:color w:val="000000"/>
              </w:rPr>
            </w:pPr>
            <w:r w:rsidRPr="0011621D">
              <w:rPr>
                <w:rFonts w:cstheme="minorHAnsi"/>
                <w:i/>
                <w:color w:val="000000"/>
              </w:rPr>
              <w:t xml:space="preserve">Q </w:t>
            </w:r>
            <w:r>
              <w:rPr>
                <w:rFonts w:cstheme="minorHAnsi"/>
                <w:i/>
                <w:color w:val="000000"/>
              </w:rPr>
              <w:t>4, 5, Scope of Services in Required Uploads</w:t>
            </w:r>
          </w:p>
        </w:tc>
        <w:tc>
          <w:tcPr>
            <w:tcW w:w="419" w:type="pct"/>
            <w:vAlign w:val="center"/>
          </w:tcPr>
          <w:p w14:paraId="40C4DA27" w14:textId="7777777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5.</w:t>
            </w:r>
          </w:p>
          <w:p w14:paraId="4F39AFBA" w14:textId="5AF1F28B"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Very Good</w:t>
            </w:r>
          </w:p>
        </w:tc>
        <w:tc>
          <w:tcPr>
            <w:tcW w:w="444" w:type="pct"/>
            <w:vAlign w:val="center"/>
          </w:tcPr>
          <w:p w14:paraId="0BF04B3C" w14:textId="7777777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4.</w:t>
            </w:r>
          </w:p>
          <w:p w14:paraId="5E1ABDFD" w14:textId="1C8306FA"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Good</w:t>
            </w:r>
          </w:p>
        </w:tc>
        <w:tc>
          <w:tcPr>
            <w:tcW w:w="488" w:type="pct"/>
            <w:vAlign w:val="center"/>
          </w:tcPr>
          <w:p w14:paraId="0B9836B6" w14:textId="7777777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3.</w:t>
            </w:r>
          </w:p>
          <w:p w14:paraId="2D63A1C3" w14:textId="69778A6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Average</w:t>
            </w:r>
          </w:p>
        </w:tc>
        <w:tc>
          <w:tcPr>
            <w:tcW w:w="488" w:type="pct"/>
            <w:vAlign w:val="center"/>
          </w:tcPr>
          <w:p w14:paraId="31A4FE76" w14:textId="7777777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2.</w:t>
            </w:r>
          </w:p>
          <w:p w14:paraId="06B0A937" w14:textId="21C2CDE2"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Below Average</w:t>
            </w:r>
          </w:p>
        </w:tc>
        <w:tc>
          <w:tcPr>
            <w:tcW w:w="435" w:type="pct"/>
            <w:vAlign w:val="center"/>
          </w:tcPr>
          <w:p w14:paraId="2F68ED31" w14:textId="7777777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1.</w:t>
            </w:r>
          </w:p>
          <w:p w14:paraId="542CFED4" w14:textId="67603AE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Poor</w:t>
            </w:r>
          </w:p>
        </w:tc>
        <w:tc>
          <w:tcPr>
            <w:tcW w:w="1134" w:type="pct"/>
          </w:tcPr>
          <w:p w14:paraId="5D38E24E" w14:textId="77777777" w:rsidR="00A037BD" w:rsidRPr="0011621D" w:rsidRDefault="00A037BD" w:rsidP="00A037BD">
            <w:pPr>
              <w:autoSpaceDE w:val="0"/>
              <w:autoSpaceDN w:val="0"/>
              <w:adjustRightInd w:val="0"/>
              <w:rPr>
                <w:rFonts w:cstheme="minorHAnsi"/>
                <w:color w:val="000000"/>
              </w:rPr>
            </w:pPr>
          </w:p>
        </w:tc>
      </w:tr>
      <w:tr w:rsidR="00A037BD" w:rsidRPr="0011621D" w14:paraId="574CF38A" w14:textId="77777777" w:rsidTr="00710F8A">
        <w:trPr>
          <w:trHeight w:val="523"/>
        </w:trPr>
        <w:tc>
          <w:tcPr>
            <w:tcW w:w="1592" w:type="pct"/>
          </w:tcPr>
          <w:p w14:paraId="6980DB8A" w14:textId="157503E7" w:rsidR="00A037BD" w:rsidRPr="0011621D" w:rsidRDefault="00A037BD" w:rsidP="00A037BD">
            <w:pPr>
              <w:autoSpaceDE w:val="0"/>
              <w:autoSpaceDN w:val="0"/>
              <w:adjustRightInd w:val="0"/>
              <w:rPr>
                <w:rFonts w:cstheme="minorHAnsi"/>
                <w:color w:val="000000"/>
              </w:rPr>
            </w:pPr>
            <w:r w:rsidRPr="0011621D">
              <w:rPr>
                <w:rFonts w:cstheme="minorHAnsi"/>
              </w:rPr>
              <w:t xml:space="preserve">3. </w:t>
            </w:r>
            <w:r w:rsidRPr="0011621D">
              <w:rPr>
                <w:rFonts w:cstheme="minorHAnsi"/>
                <w:color w:val="000000"/>
              </w:rPr>
              <w:t xml:space="preserve">Applicant clearly and comprehensively describes the </w:t>
            </w:r>
            <w:r>
              <w:rPr>
                <w:rFonts w:cstheme="minorHAnsi"/>
                <w:color w:val="000000"/>
              </w:rPr>
              <w:t>need</w:t>
            </w:r>
            <w:r w:rsidRPr="0011621D">
              <w:rPr>
                <w:rFonts w:cstheme="minorHAnsi"/>
                <w:color w:val="000000"/>
              </w:rPr>
              <w:t xml:space="preserve"> and how the proposed project will address it</w:t>
            </w:r>
            <w:r>
              <w:rPr>
                <w:rFonts w:cstheme="minorHAnsi"/>
                <w:color w:val="000000"/>
              </w:rPr>
              <w:t xml:space="preserve"> with an equity focus</w:t>
            </w:r>
            <w:r w:rsidRPr="0011621D">
              <w:rPr>
                <w:rFonts w:cstheme="minorHAnsi"/>
                <w:color w:val="000000"/>
              </w:rPr>
              <w:t xml:space="preserve">. </w:t>
            </w:r>
          </w:p>
          <w:p w14:paraId="4F5EA7F2" w14:textId="5B9106D5" w:rsidR="00A037BD" w:rsidRPr="0011621D" w:rsidRDefault="00A037BD" w:rsidP="00A037BD">
            <w:pPr>
              <w:autoSpaceDE w:val="0"/>
              <w:autoSpaceDN w:val="0"/>
              <w:adjustRightInd w:val="0"/>
              <w:rPr>
                <w:rFonts w:cstheme="minorHAnsi"/>
                <w:i/>
                <w:iCs/>
              </w:rPr>
            </w:pPr>
            <w:r>
              <w:rPr>
                <w:rFonts w:cstheme="minorHAnsi"/>
                <w:i/>
                <w:iCs/>
              </w:rPr>
              <w:t>Q 7</w:t>
            </w:r>
          </w:p>
        </w:tc>
        <w:tc>
          <w:tcPr>
            <w:tcW w:w="419" w:type="pct"/>
            <w:vAlign w:val="center"/>
          </w:tcPr>
          <w:p w14:paraId="15A3E661" w14:textId="7777777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5.</w:t>
            </w:r>
          </w:p>
          <w:p w14:paraId="1158CC62" w14:textId="4BC9D6ED"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Very Good</w:t>
            </w:r>
          </w:p>
        </w:tc>
        <w:tc>
          <w:tcPr>
            <w:tcW w:w="444" w:type="pct"/>
            <w:vAlign w:val="center"/>
          </w:tcPr>
          <w:p w14:paraId="5A4C3DBC" w14:textId="7777777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4.</w:t>
            </w:r>
          </w:p>
          <w:p w14:paraId="68BAD4E6" w14:textId="39E93A3A"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Good</w:t>
            </w:r>
          </w:p>
        </w:tc>
        <w:tc>
          <w:tcPr>
            <w:tcW w:w="488" w:type="pct"/>
            <w:vAlign w:val="center"/>
          </w:tcPr>
          <w:p w14:paraId="10899E2D" w14:textId="7777777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3.</w:t>
            </w:r>
          </w:p>
          <w:p w14:paraId="57B787A7" w14:textId="0A85DD4C"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Average</w:t>
            </w:r>
          </w:p>
        </w:tc>
        <w:tc>
          <w:tcPr>
            <w:tcW w:w="488" w:type="pct"/>
            <w:vAlign w:val="center"/>
          </w:tcPr>
          <w:p w14:paraId="00C2FA90" w14:textId="7777777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2.</w:t>
            </w:r>
          </w:p>
          <w:p w14:paraId="315C0411" w14:textId="53132986"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Below Average</w:t>
            </w:r>
          </w:p>
        </w:tc>
        <w:tc>
          <w:tcPr>
            <w:tcW w:w="435" w:type="pct"/>
            <w:vAlign w:val="center"/>
          </w:tcPr>
          <w:p w14:paraId="4F56D6FA" w14:textId="7777777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1.</w:t>
            </w:r>
          </w:p>
          <w:p w14:paraId="646CE397" w14:textId="5182235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Poor</w:t>
            </w:r>
          </w:p>
        </w:tc>
        <w:tc>
          <w:tcPr>
            <w:tcW w:w="1134" w:type="pct"/>
          </w:tcPr>
          <w:p w14:paraId="4063FF7B" w14:textId="77777777" w:rsidR="00A037BD" w:rsidRPr="0011621D" w:rsidRDefault="00A037BD" w:rsidP="00A037BD">
            <w:pPr>
              <w:autoSpaceDE w:val="0"/>
              <w:autoSpaceDN w:val="0"/>
              <w:adjustRightInd w:val="0"/>
              <w:rPr>
                <w:rFonts w:cstheme="minorHAnsi"/>
                <w:color w:val="000000"/>
              </w:rPr>
            </w:pPr>
          </w:p>
        </w:tc>
      </w:tr>
      <w:tr w:rsidR="00A31014" w:rsidRPr="0011621D" w14:paraId="5E175663" w14:textId="77777777" w:rsidTr="00710F8A">
        <w:trPr>
          <w:trHeight w:val="523"/>
        </w:trPr>
        <w:tc>
          <w:tcPr>
            <w:tcW w:w="1592" w:type="pct"/>
          </w:tcPr>
          <w:p w14:paraId="2EE6BBF0" w14:textId="22984AE9" w:rsidR="00E06CC4" w:rsidRPr="0011621D" w:rsidRDefault="00726C22" w:rsidP="00E06CC4">
            <w:pPr>
              <w:autoSpaceDE w:val="0"/>
              <w:autoSpaceDN w:val="0"/>
              <w:adjustRightInd w:val="0"/>
              <w:spacing w:line="252" w:lineRule="auto"/>
              <w:rPr>
                <w:rFonts w:cstheme="minorHAnsi"/>
              </w:rPr>
            </w:pPr>
            <w:r>
              <w:rPr>
                <w:rFonts w:cstheme="minorHAnsi"/>
              </w:rPr>
              <w:t>4</w:t>
            </w:r>
            <w:r w:rsidR="00BC62D8" w:rsidRPr="0011621D">
              <w:rPr>
                <w:rFonts w:cstheme="minorHAnsi"/>
              </w:rPr>
              <w:t xml:space="preserve">. </w:t>
            </w:r>
            <w:r w:rsidR="000F65EE" w:rsidRPr="0011621D">
              <w:rPr>
                <w:rFonts w:cstheme="minorHAnsi"/>
              </w:rPr>
              <w:t>Project</w:t>
            </w:r>
            <w:r w:rsidR="00E06CC4" w:rsidRPr="0011621D">
              <w:rPr>
                <w:rFonts w:cstheme="minorHAnsi"/>
              </w:rPr>
              <w:t xml:space="preserve"> has high potential for </w:t>
            </w:r>
            <w:r w:rsidR="00F85C63" w:rsidRPr="0011621D">
              <w:rPr>
                <w:rFonts w:cstheme="minorHAnsi"/>
              </w:rPr>
              <w:t xml:space="preserve">positive impact on </w:t>
            </w:r>
            <w:r>
              <w:rPr>
                <w:rFonts w:cstheme="minorHAnsi"/>
              </w:rPr>
              <w:t>expanding and diversifying the children’s mental and behavioral health workforce</w:t>
            </w:r>
            <w:r w:rsidR="00E06CC4" w:rsidRPr="0011621D">
              <w:rPr>
                <w:rFonts w:cstheme="minorHAnsi"/>
              </w:rPr>
              <w:t>.</w:t>
            </w:r>
          </w:p>
          <w:p w14:paraId="3507F3F4" w14:textId="3C0885F3" w:rsidR="00C17EDF" w:rsidRPr="0011621D" w:rsidRDefault="000F65EE" w:rsidP="00E06CC4">
            <w:pPr>
              <w:autoSpaceDE w:val="0"/>
              <w:autoSpaceDN w:val="0"/>
              <w:adjustRightInd w:val="0"/>
              <w:spacing w:line="252" w:lineRule="auto"/>
              <w:rPr>
                <w:rFonts w:cstheme="minorHAnsi"/>
                <w:i/>
                <w:iCs/>
              </w:rPr>
            </w:pPr>
            <w:r w:rsidRPr="0011621D">
              <w:rPr>
                <w:rFonts w:cstheme="minorHAnsi"/>
                <w:i/>
                <w:iCs/>
              </w:rPr>
              <w:t>Q</w:t>
            </w:r>
            <w:r w:rsidR="001F6925">
              <w:rPr>
                <w:rFonts w:cstheme="minorHAnsi"/>
                <w:i/>
                <w:iCs/>
              </w:rPr>
              <w:t xml:space="preserve"> 8, 9, 10, </w:t>
            </w:r>
            <w:r w:rsidR="00CE1933">
              <w:rPr>
                <w:rFonts w:cstheme="minorHAnsi"/>
                <w:i/>
                <w:iCs/>
              </w:rPr>
              <w:t xml:space="preserve">11, </w:t>
            </w:r>
            <w:r w:rsidR="001F6925">
              <w:rPr>
                <w:rFonts w:cstheme="minorHAnsi"/>
                <w:i/>
                <w:iCs/>
              </w:rPr>
              <w:t>1</w:t>
            </w:r>
            <w:r w:rsidR="009F560B">
              <w:rPr>
                <w:rFonts w:cstheme="minorHAnsi"/>
                <w:i/>
                <w:iCs/>
              </w:rPr>
              <w:t>3, 14</w:t>
            </w:r>
            <w:r w:rsidR="001F6925">
              <w:rPr>
                <w:rFonts w:cstheme="minorHAnsi"/>
                <w:i/>
                <w:iCs/>
              </w:rPr>
              <w:t>, Scope of Services in Required Uploads</w:t>
            </w:r>
          </w:p>
        </w:tc>
        <w:tc>
          <w:tcPr>
            <w:tcW w:w="419" w:type="pct"/>
            <w:vAlign w:val="center"/>
          </w:tcPr>
          <w:p w14:paraId="0D26A079" w14:textId="52830CF0" w:rsidR="00C17EDF" w:rsidRPr="0011621D" w:rsidRDefault="0019092B" w:rsidP="00C17EDF">
            <w:pPr>
              <w:autoSpaceDE w:val="0"/>
              <w:autoSpaceDN w:val="0"/>
              <w:adjustRightInd w:val="0"/>
              <w:jc w:val="center"/>
              <w:rPr>
                <w:rFonts w:cstheme="minorHAnsi"/>
                <w:color w:val="000000"/>
              </w:rPr>
            </w:pPr>
            <w:r w:rsidRPr="0011621D">
              <w:rPr>
                <w:rFonts w:cstheme="minorHAnsi"/>
                <w:color w:val="000000"/>
              </w:rPr>
              <w:t>10</w:t>
            </w:r>
            <w:r w:rsidR="00C17EDF" w:rsidRPr="0011621D">
              <w:rPr>
                <w:rFonts w:cstheme="minorHAnsi"/>
                <w:color w:val="000000"/>
              </w:rPr>
              <w:t>.</w:t>
            </w:r>
          </w:p>
          <w:p w14:paraId="1DE70AB7" w14:textId="77B93384" w:rsidR="00C17EDF" w:rsidRPr="0011621D" w:rsidRDefault="00C17EDF" w:rsidP="00C17EDF">
            <w:pPr>
              <w:autoSpaceDE w:val="0"/>
              <w:autoSpaceDN w:val="0"/>
              <w:adjustRightInd w:val="0"/>
              <w:jc w:val="center"/>
              <w:rPr>
                <w:rFonts w:cstheme="minorHAnsi"/>
                <w:color w:val="000000"/>
              </w:rPr>
            </w:pPr>
            <w:r w:rsidRPr="0011621D">
              <w:rPr>
                <w:rFonts w:cstheme="minorHAnsi"/>
                <w:color w:val="000000"/>
              </w:rPr>
              <w:t xml:space="preserve">Very </w:t>
            </w:r>
            <w:r w:rsidR="000F1C30" w:rsidRPr="0011621D">
              <w:rPr>
                <w:rFonts w:cstheme="minorHAnsi"/>
                <w:color w:val="000000"/>
              </w:rPr>
              <w:t>G</w:t>
            </w:r>
            <w:r w:rsidRPr="0011621D">
              <w:rPr>
                <w:rFonts w:cstheme="minorHAnsi"/>
                <w:color w:val="000000"/>
              </w:rPr>
              <w:t>ood</w:t>
            </w:r>
          </w:p>
        </w:tc>
        <w:tc>
          <w:tcPr>
            <w:tcW w:w="444" w:type="pct"/>
            <w:vAlign w:val="center"/>
          </w:tcPr>
          <w:p w14:paraId="4392D045" w14:textId="5446B771" w:rsidR="00C17EDF" w:rsidRPr="0011621D" w:rsidRDefault="0019092B" w:rsidP="00C17EDF">
            <w:pPr>
              <w:autoSpaceDE w:val="0"/>
              <w:autoSpaceDN w:val="0"/>
              <w:adjustRightInd w:val="0"/>
              <w:jc w:val="center"/>
              <w:rPr>
                <w:rFonts w:cstheme="minorHAnsi"/>
                <w:color w:val="000000"/>
              </w:rPr>
            </w:pPr>
            <w:r w:rsidRPr="0011621D">
              <w:rPr>
                <w:rFonts w:cstheme="minorHAnsi"/>
                <w:color w:val="000000"/>
              </w:rPr>
              <w:t>7</w:t>
            </w:r>
            <w:r w:rsidR="00C17EDF" w:rsidRPr="0011621D">
              <w:rPr>
                <w:rFonts w:cstheme="minorHAnsi"/>
                <w:color w:val="000000"/>
              </w:rPr>
              <w:t>.</w:t>
            </w:r>
          </w:p>
          <w:p w14:paraId="724CACF9" w14:textId="77777777" w:rsidR="00C17EDF" w:rsidRPr="0011621D" w:rsidRDefault="00C17EDF" w:rsidP="00C17EDF">
            <w:pPr>
              <w:autoSpaceDE w:val="0"/>
              <w:autoSpaceDN w:val="0"/>
              <w:adjustRightInd w:val="0"/>
              <w:jc w:val="center"/>
              <w:rPr>
                <w:rFonts w:cstheme="minorHAnsi"/>
                <w:color w:val="000000"/>
              </w:rPr>
            </w:pPr>
            <w:r w:rsidRPr="0011621D">
              <w:rPr>
                <w:rFonts w:cstheme="minorHAnsi"/>
                <w:color w:val="000000"/>
              </w:rPr>
              <w:t>Good</w:t>
            </w:r>
          </w:p>
        </w:tc>
        <w:tc>
          <w:tcPr>
            <w:tcW w:w="488" w:type="pct"/>
            <w:vAlign w:val="center"/>
          </w:tcPr>
          <w:p w14:paraId="0294B85C" w14:textId="15CB1E36" w:rsidR="00C17EDF" w:rsidRPr="0011621D" w:rsidRDefault="0019092B" w:rsidP="00C17EDF">
            <w:pPr>
              <w:autoSpaceDE w:val="0"/>
              <w:autoSpaceDN w:val="0"/>
              <w:adjustRightInd w:val="0"/>
              <w:jc w:val="center"/>
              <w:rPr>
                <w:rFonts w:cstheme="minorHAnsi"/>
                <w:color w:val="000000"/>
              </w:rPr>
            </w:pPr>
            <w:r w:rsidRPr="0011621D">
              <w:rPr>
                <w:rFonts w:cstheme="minorHAnsi"/>
                <w:color w:val="000000"/>
              </w:rPr>
              <w:t>4</w:t>
            </w:r>
            <w:r w:rsidR="00C17EDF" w:rsidRPr="0011621D">
              <w:rPr>
                <w:rFonts w:cstheme="minorHAnsi"/>
                <w:color w:val="000000"/>
              </w:rPr>
              <w:t>.</w:t>
            </w:r>
          </w:p>
          <w:p w14:paraId="1E71441E" w14:textId="77777777" w:rsidR="00C17EDF" w:rsidRPr="0011621D" w:rsidRDefault="00C17EDF" w:rsidP="00C17EDF">
            <w:pPr>
              <w:autoSpaceDE w:val="0"/>
              <w:autoSpaceDN w:val="0"/>
              <w:adjustRightInd w:val="0"/>
              <w:jc w:val="center"/>
              <w:rPr>
                <w:rFonts w:cstheme="minorHAnsi"/>
                <w:color w:val="000000"/>
              </w:rPr>
            </w:pPr>
            <w:r w:rsidRPr="0011621D">
              <w:rPr>
                <w:rFonts w:cstheme="minorHAnsi"/>
                <w:color w:val="000000"/>
              </w:rPr>
              <w:t>Average</w:t>
            </w:r>
          </w:p>
        </w:tc>
        <w:tc>
          <w:tcPr>
            <w:tcW w:w="488" w:type="pct"/>
            <w:vAlign w:val="center"/>
          </w:tcPr>
          <w:p w14:paraId="7A4EEA32" w14:textId="77777777" w:rsidR="00C17EDF" w:rsidRPr="0011621D" w:rsidRDefault="00C17EDF" w:rsidP="00C17EDF">
            <w:pPr>
              <w:autoSpaceDE w:val="0"/>
              <w:autoSpaceDN w:val="0"/>
              <w:adjustRightInd w:val="0"/>
              <w:jc w:val="center"/>
              <w:rPr>
                <w:rFonts w:cstheme="minorHAnsi"/>
                <w:color w:val="000000"/>
              </w:rPr>
            </w:pPr>
            <w:r w:rsidRPr="0011621D">
              <w:rPr>
                <w:rFonts w:cstheme="minorHAnsi"/>
                <w:color w:val="000000"/>
              </w:rPr>
              <w:t>2.</w:t>
            </w:r>
          </w:p>
          <w:p w14:paraId="407B72F4" w14:textId="77777777" w:rsidR="00C17EDF" w:rsidRPr="0011621D" w:rsidRDefault="00C17EDF" w:rsidP="00C17EDF">
            <w:pPr>
              <w:autoSpaceDE w:val="0"/>
              <w:autoSpaceDN w:val="0"/>
              <w:adjustRightInd w:val="0"/>
              <w:jc w:val="center"/>
              <w:rPr>
                <w:rFonts w:cstheme="minorHAnsi"/>
                <w:color w:val="000000"/>
              </w:rPr>
            </w:pPr>
            <w:r w:rsidRPr="0011621D">
              <w:rPr>
                <w:rFonts w:cstheme="minorHAnsi"/>
                <w:color w:val="000000"/>
              </w:rPr>
              <w:t>Below Average</w:t>
            </w:r>
          </w:p>
        </w:tc>
        <w:tc>
          <w:tcPr>
            <w:tcW w:w="435" w:type="pct"/>
            <w:vAlign w:val="center"/>
          </w:tcPr>
          <w:p w14:paraId="5AF5DEF8" w14:textId="77777777" w:rsidR="00C17EDF" w:rsidRPr="0011621D" w:rsidRDefault="00C17EDF" w:rsidP="00C17EDF">
            <w:pPr>
              <w:autoSpaceDE w:val="0"/>
              <w:autoSpaceDN w:val="0"/>
              <w:adjustRightInd w:val="0"/>
              <w:jc w:val="center"/>
              <w:rPr>
                <w:rFonts w:cstheme="minorHAnsi"/>
                <w:color w:val="000000"/>
              </w:rPr>
            </w:pPr>
            <w:r w:rsidRPr="0011621D">
              <w:rPr>
                <w:rFonts w:cstheme="minorHAnsi"/>
                <w:color w:val="000000"/>
              </w:rPr>
              <w:t>1.</w:t>
            </w:r>
          </w:p>
          <w:p w14:paraId="2577B240" w14:textId="77777777" w:rsidR="00C17EDF" w:rsidRPr="0011621D" w:rsidRDefault="00C17EDF" w:rsidP="00C17EDF">
            <w:pPr>
              <w:autoSpaceDE w:val="0"/>
              <w:autoSpaceDN w:val="0"/>
              <w:adjustRightInd w:val="0"/>
              <w:jc w:val="center"/>
              <w:rPr>
                <w:rFonts w:cstheme="minorHAnsi"/>
                <w:color w:val="000000"/>
              </w:rPr>
            </w:pPr>
            <w:r w:rsidRPr="0011621D">
              <w:rPr>
                <w:rFonts w:cstheme="minorHAnsi"/>
                <w:color w:val="000000"/>
              </w:rPr>
              <w:t>Poor</w:t>
            </w:r>
          </w:p>
        </w:tc>
        <w:tc>
          <w:tcPr>
            <w:tcW w:w="1134" w:type="pct"/>
          </w:tcPr>
          <w:p w14:paraId="7BFE1923" w14:textId="77777777" w:rsidR="00C17EDF" w:rsidRPr="0011621D" w:rsidRDefault="00C17EDF" w:rsidP="00EB1E6C">
            <w:pPr>
              <w:autoSpaceDE w:val="0"/>
              <w:autoSpaceDN w:val="0"/>
              <w:adjustRightInd w:val="0"/>
              <w:rPr>
                <w:rFonts w:cstheme="minorHAnsi"/>
                <w:color w:val="000000"/>
              </w:rPr>
            </w:pPr>
          </w:p>
        </w:tc>
      </w:tr>
      <w:tr w:rsidR="00A037BD" w:rsidRPr="0011621D" w14:paraId="60AF5349" w14:textId="77777777" w:rsidTr="00710F8A">
        <w:trPr>
          <w:trHeight w:val="523"/>
        </w:trPr>
        <w:tc>
          <w:tcPr>
            <w:tcW w:w="1592" w:type="pct"/>
          </w:tcPr>
          <w:p w14:paraId="7823FFC6" w14:textId="2A01D014" w:rsidR="00A037BD" w:rsidRPr="0011621D" w:rsidRDefault="00A037BD" w:rsidP="00A037BD">
            <w:pPr>
              <w:autoSpaceDE w:val="0"/>
              <w:autoSpaceDN w:val="0"/>
              <w:adjustRightInd w:val="0"/>
              <w:spacing w:line="252" w:lineRule="auto"/>
              <w:rPr>
                <w:rFonts w:cstheme="minorHAnsi"/>
                <w:color w:val="000000"/>
              </w:rPr>
            </w:pPr>
            <w:r>
              <w:rPr>
                <w:rFonts w:cstheme="minorHAnsi"/>
                <w:color w:val="000000"/>
              </w:rPr>
              <w:t>5.</w:t>
            </w:r>
            <w:r w:rsidRPr="0011621D">
              <w:rPr>
                <w:rFonts w:cstheme="minorHAnsi"/>
                <w:color w:val="000000"/>
              </w:rPr>
              <w:t xml:space="preserve"> Proposed outcome metrics are relevant, measurable, and achievable.</w:t>
            </w:r>
          </w:p>
          <w:p w14:paraId="4F1699A3" w14:textId="181840AC" w:rsidR="00A037BD" w:rsidRDefault="00A037BD" w:rsidP="00A037BD">
            <w:pPr>
              <w:autoSpaceDE w:val="0"/>
              <w:autoSpaceDN w:val="0"/>
              <w:adjustRightInd w:val="0"/>
              <w:spacing w:line="252" w:lineRule="auto"/>
              <w:rPr>
                <w:rFonts w:cstheme="minorHAnsi"/>
              </w:rPr>
            </w:pPr>
            <w:r w:rsidRPr="0011621D">
              <w:rPr>
                <w:rFonts w:cstheme="minorHAnsi"/>
                <w:i/>
                <w:color w:val="000000"/>
              </w:rPr>
              <w:t xml:space="preserve">Q </w:t>
            </w:r>
            <w:r>
              <w:rPr>
                <w:rFonts w:cstheme="minorHAnsi"/>
                <w:i/>
                <w:color w:val="000000"/>
              </w:rPr>
              <w:t>11, 12, Scope of Services in Required Uploads</w:t>
            </w:r>
          </w:p>
        </w:tc>
        <w:tc>
          <w:tcPr>
            <w:tcW w:w="419" w:type="pct"/>
            <w:vAlign w:val="center"/>
          </w:tcPr>
          <w:p w14:paraId="6775C504" w14:textId="7777777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10.</w:t>
            </w:r>
          </w:p>
          <w:p w14:paraId="3110E44D" w14:textId="2C1413BB"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Very Good</w:t>
            </w:r>
          </w:p>
        </w:tc>
        <w:tc>
          <w:tcPr>
            <w:tcW w:w="444" w:type="pct"/>
            <w:vAlign w:val="center"/>
          </w:tcPr>
          <w:p w14:paraId="2055803D" w14:textId="7777777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7.</w:t>
            </w:r>
          </w:p>
          <w:p w14:paraId="70131F88" w14:textId="0B2572D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Good</w:t>
            </w:r>
          </w:p>
        </w:tc>
        <w:tc>
          <w:tcPr>
            <w:tcW w:w="488" w:type="pct"/>
            <w:vAlign w:val="center"/>
          </w:tcPr>
          <w:p w14:paraId="174ED92B" w14:textId="7777777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4.</w:t>
            </w:r>
          </w:p>
          <w:p w14:paraId="28ADA223" w14:textId="46EE0363"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Average</w:t>
            </w:r>
          </w:p>
        </w:tc>
        <w:tc>
          <w:tcPr>
            <w:tcW w:w="488" w:type="pct"/>
            <w:vAlign w:val="center"/>
          </w:tcPr>
          <w:p w14:paraId="3814A9F2" w14:textId="7777777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2.</w:t>
            </w:r>
          </w:p>
          <w:p w14:paraId="2831EAC3" w14:textId="0BC87F3C"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Below Average</w:t>
            </w:r>
          </w:p>
        </w:tc>
        <w:tc>
          <w:tcPr>
            <w:tcW w:w="435" w:type="pct"/>
            <w:vAlign w:val="center"/>
          </w:tcPr>
          <w:p w14:paraId="32DD428D" w14:textId="7777777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1.</w:t>
            </w:r>
          </w:p>
          <w:p w14:paraId="1E0810B6" w14:textId="6D4ED7D6"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Poor</w:t>
            </w:r>
          </w:p>
        </w:tc>
        <w:tc>
          <w:tcPr>
            <w:tcW w:w="1134" w:type="pct"/>
          </w:tcPr>
          <w:p w14:paraId="3675CFBD" w14:textId="77777777" w:rsidR="00A037BD" w:rsidRPr="0011621D" w:rsidRDefault="00A037BD" w:rsidP="00A037BD">
            <w:pPr>
              <w:autoSpaceDE w:val="0"/>
              <w:autoSpaceDN w:val="0"/>
              <w:adjustRightInd w:val="0"/>
              <w:rPr>
                <w:rFonts w:cstheme="minorHAnsi"/>
                <w:color w:val="000000"/>
              </w:rPr>
            </w:pPr>
          </w:p>
        </w:tc>
      </w:tr>
      <w:tr w:rsidR="009F560B" w:rsidRPr="0011621D" w14:paraId="4BB34E65" w14:textId="77777777" w:rsidTr="00710F8A">
        <w:trPr>
          <w:trHeight w:val="523"/>
        </w:trPr>
        <w:tc>
          <w:tcPr>
            <w:tcW w:w="1592" w:type="pct"/>
          </w:tcPr>
          <w:p w14:paraId="3A3B9F82" w14:textId="0374870A" w:rsidR="009F560B" w:rsidRDefault="009F560B" w:rsidP="009F560B">
            <w:pPr>
              <w:autoSpaceDE w:val="0"/>
              <w:autoSpaceDN w:val="0"/>
              <w:adjustRightInd w:val="0"/>
              <w:spacing w:line="252" w:lineRule="auto"/>
              <w:rPr>
                <w:rFonts w:cstheme="minorHAnsi"/>
              </w:rPr>
            </w:pPr>
            <w:r>
              <w:rPr>
                <w:rFonts w:cstheme="minorHAnsi"/>
              </w:rPr>
              <w:t>6. Project demonstrates strong community partnerships.</w:t>
            </w:r>
          </w:p>
          <w:p w14:paraId="2FA79551" w14:textId="5B1567AE" w:rsidR="009F560B" w:rsidRPr="001F6925" w:rsidRDefault="009F560B" w:rsidP="009F560B">
            <w:pPr>
              <w:autoSpaceDE w:val="0"/>
              <w:autoSpaceDN w:val="0"/>
              <w:adjustRightInd w:val="0"/>
              <w:spacing w:line="252" w:lineRule="auto"/>
              <w:rPr>
                <w:rFonts w:cstheme="minorHAnsi"/>
                <w:i/>
                <w:iCs/>
              </w:rPr>
            </w:pPr>
            <w:r>
              <w:rPr>
                <w:rFonts w:cstheme="minorHAnsi"/>
                <w:i/>
                <w:iCs/>
              </w:rPr>
              <w:t>Q 8, 13, Partnership Letter in Required Uploads</w:t>
            </w:r>
          </w:p>
        </w:tc>
        <w:tc>
          <w:tcPr>
            <w:tcW w:w="419" w:type="pct"/>
            <w:vAlign w:val="center"/>
          </w:tcPr>
          <w:p w14:paraId="6C1E5160" w14:textId="77777777" w:rsidR="009F560B" w:rsidRPr="0011621D" w:rsidRDefault="009F560B" w:rsidP="009F560B">
            <w:pPr>
              <w:autoSpaceDE w:val="0"/>
              <w:autoSpaceDN w:val="0"/>
              <w:adjustRightInd w:val="0"/>
              <w:jc w:val="center"/>
              <w:rPr>
                <w:rFonts w:cstheme="minorHAnsi"/>
                <w:color w:val="000000"/>
              </w:rPr>
            </w:pPr>
            <w:r w:rsidRPr="0011621D">
              <w:rPr>
                <w:rFonts w:cstheme="minorHAnsi"/>
                <w:color w:val="000000"/>
              </w:rPr>
              <w:t>5.</w:t>
            </w:r>
          </w:p>
          <w:p w14:paraId="4B1807B6" w14:textId="6224CE47" w:rsidR="009F560B" w:rsidRPr="0011621D" w:rsidRDefault="009F560B" w:rsidP="009F560B">
            <w:pPr>
              <w:autoSpaceDE w:val="0"/>
              <w:autoSpaceDN w:val="0"/>
              <w:adjustRightInd w:val="0"/>
              <w:jc w:val="center"/>
              <w:rPr>
                <w:rFonts w:cstheme="minorHAnsi"/>
                <w:color w:val="000000"/>
              </w:rPr>
            </w:pPr>
            <w:r w:rsidRPr="0011621D">
              <w:rPr>
                <w:rFonts w:cstheme="minorHAnsi"/>
                <w:color w:val="000000"/>
              </w:rPr>
              <w:t>Very Good</w:t>
            </w:r>
          </w:p>
        </w:tc>
        <w:tc>
          <w:tcPr>
            <w:tcW w:w="444" w:type="pct"/>
            <w:vAlign w:val="center"/>
          </w:tcPr>
          <w:p w14:paraId="390A641E" w14:textId="77777777" w:rsidR="009F560B" w:rsidRPr="0011621D" w:rsidRDefault="009F560B" w:rsidP="009F560B">
            <w:pPr>
              <w:autoSpaceDE w:val="0"/>
              <w:autoSpaceDN w:val="0"/>
              <w:adjustRightInd w:val="0"/>
              <w:jc w:val="center"/>
              <w:rPr>
                <w:rFonts w:cstheme="minorHAnsi"/>
                <w:color w:val="000000"/>
              </w:rPr>
            </w:pPr>
            <w:r w:rsidRPr="0011621D">
              <w:rPr>
                <w:rFonts w:cstheme="minorHAnsi"/>
                <w:color w:val="000000"/>
              </w:rPr>
              <w:t>4.</w:t>
            </w:r>
          </w:p>
          <w:p w14:paraId="73ECAF4D" w14:textId="5EAFA312" w:rsidR="009F560B" w:rsidRPr="0011621D" w:rsidRDefault="009F560B" w:rsidP="009F560B">
            <w:pPr>
              <w:autoSpaceDE w:val="0"/>
              <w:autoSpaceDN w:val="0"/>
              <w:adjustRightInd w:val="0"/>
              <w:jc w:val="center"/>
              <w:rPr>
                <w:rFonts w:cstheme="minorHAnsi"/>
                <w:color w:val="000000"/>
              </w:rPr>
            </w:pPr>
            <w:r w:rsidRPr="0011621D">
              <w:rPr>
                <w:rFonts w:cstheme="minorHAnsi"/>
                <w:color w:val="000000"/>
              </w:rPr>
              <w:t>Good</w:t>
            </w:r>
          </w:p>
        </w:tc>
        <w:tc>
          <w:tcPr>
            <w:tcW w:w="488" w:type="pct"/>
            <w:vAlign w:val="center"/>
          </w:tcPr>
          <w:p w14:paraId="130FD105" w14:textId="77777777" w:rsidR="009F560B" w:rsidRPr="0011621D" w:rsidRDefault="009F560B" w:rsidP="009F560B">
            <w:pPr>
              <w:autoSpaceDE w:val="0"/>
              <w:autoSpaceDN w:val="0"/>
              <w:adjustRightInd w:val="0"/>
              <w:jc w:val="center"/>
              <w:rPr>
                <w:rFonts w:cstheme="minorHAnsi"/>
                <w:color w:val="000000"/>
              </w:rPr>
            </w:pPr>
            <w:r w:rsidRPr="0011621D">
              <w:rPr>
                <w:rFonts w:cstheme="minorHAnsi"/>
                <w:color w:val="000000"/>
              </w:rPr>
              <w:t>3.</w:t>
            </w:r>
          </w:p>
          <w:p w14:paraId="5A0E032C" w14:textId="60D25A5F" w:rsidR="009F560B" w:rsidRPr="0011621D" w:rsidRDefault="009F560B" w:rsidP="009F560B">
            <w:pPr>
              <w:autoSpaceDE w:val="0"/>
              <w:autoSpaceDN w:val="0"/>
              <w:adjustRightInd w:val="0"/>
              <w:jc w:val="center"/>
              <w:rPr>
                <w:rFonts w:cstheme="minorHAnsi"/>
                <w:color w:val="000000"/>
              </w:rPr>
            </w:pPr>
            <w:r w:rsidRPr="0011621D">
              <w:rPr>
                <w:rFonts w:cstheme="minorHAnsi"/>
                <w:color w:val="000000"/>
              </w:rPr>
              <w:t>Average</w:t>
            </w:r>
          </w:p>
        </w:tc>
        <w:tc>
          <w:tcPr>
            <w:tcW w:w="488" w:type="pct"/>
            <w:vAlign w:val="center"/>
          </w:tcPr>
          <w:p w14:paraId="00E1D924" w14:textId="77777777" w:rsidR="009F560B" w:rsidRPr="0011621D" w:rsidRDefault="009F560B" w:rsidP="009F560B">
            <w:pPr>
              <w:autoSpaceDE w:val="0"/>
              <w:autoSpaceDN w:val="0"/>
              <w:adjustRightInd w:val="0"/>
              <w:jc w:val="center"/>
              <w:rPr>
                <w:rFonts w:cstheme="minorHAnsi"/>
                <w:color w:val="000000"/>
              </w:rPr>
            </w:pPr>
            <w:r w:rsidRPr="0011621D">
              <w:rPr>
                <w:rFonts w:cstheme="minorHAnsi"/>
                <w:color w:val="000000"/>
              </w:rPr>
              <w:t>2.</w:t>
            </w:r>
          </w:p>
          <w:p w14:paraId="669CA5E5" w14:textId="7353D965" w:rsidR="009F560B" w:rsidRPr="0011621D" w:rsidRDefault="009F560B" w:rsidP="009F560B">
            <w:pPr>
              <w:autoSpaceDE w:val="0"/>
              <w:autoSpaceDN w:val="0"/>
              <w:adjustRightInd w:val="0"/>
              <w:jc w:val="center"/>
              <w:rPr>
                <w:rFonts w:cstheme="minorHAnsi"/>
                <w:color w:val="000000"/>
              </w:rPr>
            </w:pPr>
            <w:r w:rsidRPr="0011621D">
              <w:rPr>
                <w:rFonts w:cstheme="minorHAnsi"/>
                <w:color w:val="000000"/>
              </w:rPr>
              <w:t>Below Average</w:t>
            </w:r>
          </w:p>
        </w:tc>
        <w:tc>
          <w:tcPr>
            <w:tcW w:w="435" w:type="pct"/>
            <w:vAlign w:val="center"/>
          </w:tcPr>
          <w:p w14:paraId="72C7F50B" w14:textId="77777777" w:rsidR="009F560B" w:rsidRPr="0011621D" w:rsidRDefault="009F560B" w:rsidP="009F560B">
            <w:pPr>
              <w:autoSpaceDE w:val="0"/>
              <w:autoSpaceDN w:val="0"/>
              <w:adjustRightInd w:val="0"/>
              <w:jc w:val="center"/>
              <w:rPr>
                <w:rFonts w:cstheme="minorHAnsi"/>
                <w:color w:val="000000"/>
              </w:rPr>
            </w:pPr>
            <w:r w:rsidRPr="0011621D">
              <w:rPr>
                <w:rFonts w:cstheme="minorHAnsi"/>
                <w:color w:val="000000"/>
              </w:rPr>
              <w:t>1.</w:t>
            </w:r>
          </w:p>
          <w:p w14:paraId="22952626" w14:textId="7C10AE63" w:rsidR="009F560B" w:rsidRPr="0011621D" w:rsidRDefault="009F560B" w:rsidP="009F560B">
            <w:pPr>
              <w:autoSpaceDE w:val="0"/>
              <w:autoSpaceDN w:val="0"/>
              <w:adjustRightInd w:val="0"/>
              <w:jc w:val="center"/>
              <w:rPr>
                <w:rFonts w:cstheme="minorHAnsi"/>
                <w:color w:val="000000"/>
              </w:rPr>
            </w:pPr>
            <w:r w:rsidRPr="0011621D">
              <w:rPr>
                <w:rFonts w:cstheme="minorHAnsi"/>
                <w:color w:val="000000"/>
              </w:rPr>
              <w:t>Poor</w:t>
            </w:r>
          </w:p>
        </w:tc>
        <w:tc>
          <w:tcPr>
            <w:tcW w:w="1134" w:type="pct"/>
          </w:tcPr>
          <w:p w14:paraId="091DDBD0" w14:textId="77777777" w:rsidR="009F560B" w:rsidRDefault="009F560B" w:rsidP="009F560B">
            <w:pPr>
              <w:autoSpaceDE w:val="0"/>
              <w:autoSpaceDN w:val="0"/>
              <w:adjustRightInd w:val="0"/>
              <w:rPr>
                <w:rFonts w:cstheme="minorHAnsi"/>
                <w:color w:val="000000"/>
              </w:rPr>
            </w:pPr>
          </w:p>
          <w:p w14:paraId="4EE53F1E" w14:textId="77777777" w:rsidR="00710F8A" w:rsidRPr="0011621D" w:rsidRDefault="00710F8A" w:rsidP="009F560B">
            <w:pPr>
              <w:autoSpaceDE w:val="0"/>
              <w:autoSpaceDN w:val="0"/>
              <w:adjustRightInd w:val="0"/>
              <w:rPr>
                <w:rFonts w:cstheme="minorHAnsi"/>
                <w:color w:val="000000"/>
              </w:rPr>
            </w:pPr>
          </w:p>
        </w:tc>
      </w:tr>
    </w:tbl>
    <w:p w14:paraId="6FE674EB" w14:textId="77777777" w:rsidR="00710F8A" w:rsidRDefault="00710F8A">
      <w:r>
        <w:br w:type="page"/>
      </w:r>
    </w:p>
    <w:tbl>
      <w:tblPr>
        <w:tblStyle w:val="TableGrid"/>
        <w:tblW w:w="5292" w:type="pct"/>
        <w:tblInd w:w="-275" w:type="dxa"/>
        <w:tblLayout w:type="fixed"/>
        <w:tblLook w:val="04A0" w:firstRow="1" w:lastRow="0" w:firstColumn="1" w:lastColumn="0" w:noHBand="0" w:noVBand="1"/>
      </w:tblPr>
      <w:tblGrid>
        <w:gridCol w:w="3151"/>
        <w:gridCol w:w="829"/>
        <w:gridCol w:w="879"/>
        <w:gridCol w:w="966"/>
        <w:gridCol w:w="966"/>
        <w:gridCol w:w="861"/>
        <w:gridCol w:w="2244"/>
      </w:tblGrid>
      <w:tr w:rsidR="00A037BD" w:rsidRPr="0011621D" w14:paraId="5D97008E" w14:textId="77777777" w:rsidTr="00710F8A">
        <w:trPr>
          <w:trHeight w:val="523"/>
          <w:tblHeader/>
        </w:trPr>
        <w:tc>
          <w:tcPr>
            <w:tcW w:w="1592" w:type="pct"/>
          </w:tcPr>
          <w:p w14:paraId="4280A8CC" w14:textId="19749EEE" w:rsidR="00A037BD" w:rsidRPr="0011621D" w:rsidRDefault="00A037BD" w:rsidP="00A037BD">
            <w:pPr>
              <w:autoSpaceDE w:val="0"/>
              <w:autoSpaceDN w:val="0"/>
              <w:adjustRightInd w:val="0"/>
              <w:spacing w:line="252" w:lineRule="auto"/>
              <w:rPr>
                <w:rFonts w:cstheme="minorHAnsi"/>
              </w:rPr>
            </w:pPr>
            <w:r w:rsidRPr="0011621D">
              <w:rPr>
                <w:rFonts w:cstheme="minorHAnsi"/>
              </w:rPr>
              <w:lastRenderedPageBreak/>
              <w:t>7. Applicant outlines a strong, realistic plan with appropriate level of staff capacity to implement project.</w:t>
            </w:r>
          </w:p>
          <w:p w14:paraId="2F8D52E9" w14:textId="3F0B617C" w:rsidR="00A037BD" w:rsidRPr="0011621D" w:rsidRDefault="00A037BD" w:rsidP="00A037BD">
            <w:pPr>
              <w:autoSpaceDE w:val="0"/>
              <w:autoSpaceDN w:val="0"/>
              <w:adjustRightInd w:val="0"/>
              <w:rPr>
                <w:rFonts w:cstheme="minorHAnsi"/>
              </w:rPr>
            </w:pPr>
            <w:r w:rsidRPr="0011621D">
              <w:rPr>
                <w:rFonts w:cstheme="minorHAnsi"/>
                <w:i/>
                <w:color w:val="000000"/>
              </w:rPr>
              <w:t>Q</w:t>
            </w:r>
            <w:r>
              <w:rPr>
                <w:rFonts w:cstheme="minorHAnsi"/>
                <w:i/>
                <w:color w:val="000000"/>
              </w:rPr>
              <w:t xml:space="preserve"> 14, 16, Project Budget, Scope of Services and Resumes/CVs in Required Uploads</w:t>
            </w:r>
            <w:r w:rsidRPr="0011621D">
              <w:rPr>
                <w:rFonts w:cstheme="minorHAnsi"/>
                <w:i/>
                <w:color w:val="000000"/>
              </w:rPr>
              <w:t xml:space="preserve"> </w:t>
            </w:r>
          </w:p>
        </w:tc>
        <w:tc>
          <w:tcPr>
            <w:tcW w:w="419" w:type="pct"/>
            <w:vAlign w:val="center"/>
          </w:tcPr>
          <w:p w14:paraId="6D28C7B5" w14:textId="7777777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10.</w:t>
            </w:r>
          </w:p>
          <w:p w14:paraId="6770B200" w14:textId="50824E55"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Very Good</w:t>
            </w:r>
          </w:p>
        </w:tc>
        <w:tc>
          <w:tcPr>
            <w:tcW w:w="444" w:type="pct"/>
            <w:vAlign w:val="center"/>
          </w:tcPr>
          <w:p w14:paraId="5DED45DF" w14:textId="7777777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7.</w:t>
            </w:r>
          </w:p>
          <w:p w14:paraId="115DD07C" w14:textId="729E76D1"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Good</w:t>
            </w:r>
          </w:p>
        </w:tc>
        <w:tc>
          <w:tcPr>
            <w:tcW w:w="488" w:type="pct"/>
            <w:vAlign w:val="center"/>
          </w:tcPr>
          <w:p w14:paraId="1233E715" w14:textId="7777777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4.</w:t>
            </w:r>
          </w:p>
          <w:p w14:paraId="32014059" w14:textId="6C34D1D0"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Average</w:t>
            </w:r>
          </w:p>
        </w:tc>
        <w:tc>
          <w:tcPr>
            <w:tcW w:w="488" w:type="pct"/>
            <w:vAlign w:val="center"/>
          </w:tcPr>
          <w:p w14:paraId="6B852723" w14:textId="7777777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2.</w:t>
            </w:r>
          </w:p>
          <w:p w14:paraId="4653D542" w14:textId="6E3B5D1A"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Below Average</w:t>
            </w:r>
          </w:p>
        </w:tc>
        <w:tc>
          <w:tcPr>
            <w:tcW w:w="435" w:type="pct"/>
            <w:vAlign w:val="center"/>
          </w:tcPr>
          <w:p w14:paraId="33F97A28" w14:textId="7777777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1.</w:t>
            </w:r>
          </w:p>
          <w:p w14:paraId="5B7E735A" w14:textId="04D0327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Poor</w:t>
            </w:r>
          </w:p>
        </w:tc>
        <w:tc>
          <w:tcPr>
            <w:tcW w:w="1134" w:type="pct"/>
          </w:tcPr>
          <w:p w14:paraId="1D1C312B" w14:textId="77777777" w:rsidR="00A037BD" w:rsidRPr="0011621D" w:rsidRDefault="00A037BD" w:rsidP="00A037BD">
            <w:pPr>
              <w:autoSpaceDE w:val="0"/>
              <w:autoSpaceDN w:val="0"/>
              <w:adjustRightInd w:val="0"/>
              <w:rPr>
                <w:rFonts w:cstheme="minorHAnsi"/>
                <w:color w:val="000000"/>
              </w:rPr>
            </w:pPr>
          </w:p>
        </w:tc>
      </w:tr>
      <w:tr w:rsidR="00A037BD" w:rsidRPr="0011621D" w14:paraId="264110A6" w14:textId="77777777" w:rsidTr="009204BF">
        <w:trPr>
          <w:trHeight w:val="523"/>
        </w:trPr>
        <w:tc>
          <w:tcPr>
            <w:tcW w:w="1592" w:type="pct"/>
          </w:tcPr>
          <w:p w14:paraId="5631AFC8" w14:textId="222FA90A" w:rsidR="00A037BD" w:rsidRPr="0011621D" w:rsidRDefault="00A037BD" w:rsidP="00A037BD">
            <w:pPr>
              <w:autoSpaceDE w:val="0"/>
              <w:autoSpaceDN w:val="0"/>
              <w:adjustRightInd w:val="0"/>
              <w:rPr>
                <w:rFonts w:cstheme="minorHAnsi"/>
                <w:i/>
                <w:iCs/>
              </w:rPr>
            </w:pPr>
            <w:r w:rsidRPr="0011621D">
              <w:rPr>
                <w:rFonts w:cstheme="minorHAnsi"/>
              </w:rPr>
              <w:t>8. Project budget accurately reflects</w:t>
            </w:r>
            <w:r>
              <w:rPr>
                <w:rFonts w:cstheme="minorHAnsi"/>
              </w:rPr>
              <w:t xml:space="preserve"> the</w:t>
            </w:r>
            <w:r w:rsidRPr="0011621D">
              <w:rPr>
                <w:rFonts w:cstheme="minorHAnsi"/>
              </w:rPr>
              <w:t xml:space="preserve"> level of project effort</w:t>
            </w:r>
            <w:r>
              <w:rPr>
                <w:rFonts w:cstheme="minorHAnsi"/>
              </w:rPr>
              <w:t xml:space="preserve"> and shared financial commitment with strong plans to embed the project into ongoing work</w:t>
            </w:r>
            <w:r w:rsidRPr="0011621D">
              <w:rPr>
                <w:rFonts w:cstheme="minorHAnsi"/>
              </w:rPr>
              <w:t>.</w:t>
            </w:r>
            <w:r w:rsidRPr="0011621D">
              <w:rPr>
                <w:rFonts w:cstheme="minorHAnsi"/>
                <w:i/>
                <w:iCs/>
              </w:rPr>
              <w:t xml:space="preserve"> </w:t>
            </w:r>
          </w:p>
          <w:p w14:paraId="02D1EC68" w14:textId="6CC8AE98" w:rsidR="00A037BD" w:rsidRPr="0011621D" w:rsidRDefault="00A037BD" w:rsidP="00A037BD">
            <w:pPr>
              <w:autoSpaceDE w:val="0"/>
              <w:autoSpaceDN w:val="0"/>
              <w:adjustRightInd w:val="0"/>
              <w:spacing w:line="252" w:lineRule="auto"/>
              <w:rPr>
                <w:rFonts w:cstheme="minorHAnsi"/>
                <w:i/>
                <w:color w:val="000000"/>
              </w:rPr>
            </w:pPr>
            <w:r>
              <w:rPr>
                <w:rFonts w:cstheme="minorHAnsi"/>
                <w:i/>
                <w:iCs/>
              </w:rPr>
              <w:t xml:space="preserve">Q 16, </w:t>
            </w:r>
            <w:r w:rsidRPr="0011621D">
              <w:rPr>
                <w:rFonts w:cstheme="minorHAnsi"/>
                <w:i/>
                <w:iCs/>
              </w:rPr>
              <w:t xml:space="preserve">Project Budget in </w:t>
            </w:r>
            <w:r w:rsidRPr="0011621D">
              <w:rPr>
                <w:rFonts w:cstheme="minorHAnsi"/>
                <w:i/>
                <w:color w:val="000000"/>
              </w:rPr>
              <w:t>Required Uploads</w:t>
            </w:r>
          </w:p>
        </w:tc>
        <w:tc>
          <w:tcPr>
            <w:tcW w:w="419" w:type="pct"/>
            <w:vAlign w:val="center"/>
          </w:tcPr>
          <w:p w14:paraId="0D39ABA4" w14:textId="7777777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10.</w:t>
            </w:r>
          </w:p>
          <w:p w14:paraId="6ADA6253" w14:textId="787A581D"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Very Good</w:t>
            </w:r>
          </w:p>
        </w:tc>
        <w:tc>
          <w:tcPr>
            <w:tcW w:w="444" w:type="pct"/>
            <w:vAlign w:val="center"/>
          </w:tcPr>
          <w:p w14:paraId="16901435" w14:textId="7777777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7.</w:t>
            </w:r>
          </w:p>
          <w:p w14:paraId="755952F1" w14:textId="3063E429"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Good</w:t>
            </w:r>
          </w:p>
        </w:tc>
        <w:tc>
          <w:tcPr>
            <w:tcW w:w="488" w:type="pct"/>
            <w:vAlign w:val="center"/>
          </w:tcPr>
          <w:p w14:paraId="1AD61B5F" w14:textId="7777777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4.</w:t>
            </w:r>
          </w:p>
          <w:p w14:paraId="07095F50" w14:textId="22E4C2E3"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Average</w:t>
            </w:r>
          </w:p>
        </w:tc>
        <w:tc>
          <w:tcPr>
            <w:tcW w:w="488" w:type="pct"/>
            <w:vAlign w:val="center"/>
          </w:tcPr>
          <w:p w14:paraId="75F24520" w14:textId="7777777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2.</w:t>
            </w:r>
          </w:p>
          <w:p w14:paraId="6F5C0AF1" w14:textId="6A52E584"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Below Average</w:t>
            </w:r>
          </w:p>
        </w:tc>
        <w:tc>
          <w:tcPr>
            <w:tcW w:w="435" w:type="pct"/>
            <w:vAlign w:val="center"/>
          </w:tcPr>
          <w:p w14:paraId="5C034E83" w14:textId="77777777"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1.</w:t>
            </w:r>
          </w:p>
          <w:p w14:paraId="1BA806E2" w14:textId="05E7ED28" w:rsidR="00A037BD" w:rsidRPr="0011621D" w:rsidRDefault="00A037BD" w:rsidP="00A037BD">
            <w:pPr>
              <w:autoSpaceDE w:val="0"/>
              <w:autoSpaceDN w:val="0"/>
              <w:adjustRightInd w:val="0"/>
              <w:jc w:val="center"/>
              <w:rPr>
                <w:rFonts w:cstheme="minorHAnsi"/>
                <w:color w:val="000000"/>
              </w:rPr>
            </w:pPr>
            <w:r w:rsidRPr="0011621D">
              <w:rPr>
                <w:rFonts w:cstheme="minorHAnsi"/>
                <w:color w:val="000000"/>
              </w:rPr>
              <w:t>Poor</w:t>
            </w:r>
          </w:p>
        </w:tc>
        <w:tc>
          <w:tcPr>
            <w:tcW w:w="1134" w:type="pct"/>
          </w:tcPr>
          <w:p w14:paraId="181CDC6D" w14:textId="77777777" w:rsidR="00A037BD" w:rsidRPr="0011621D" w:rsidRDefault="00A037BD" w:rsidP="00A037BD">
            <w:pPr>
              <w:autoSpaceDE w:val="0"/>
              <w:autoSpaceDN w:val="0"/>
              <w:adjustRightInd w:val="0"/>
              <w:rPr>
                <w:rFonts w:cstheme="minorHAnsi"/>
                <w:color w:val="000000"/>
              </w:rPr>
            </w:pPr>
          </w:p>
        </w:tc>
      </w:tr>
      <w:tr w:rsidR="009F560B" w:rsidRPr="0011621D" w14:paraId="36BC63B8" w14:textId="77777777" w:rsidTr="00995BB4">
        <w:trPr>
          <w:trHeight w:val="523"/>
        </w:trPr>
        <w:tc>
          <w:tcPr>
            <w:tcW w:w="1592" w:type="pct"/>
            <w:vAlign w:val="center"/>
          </w:tcPr>
          <w:p w14:paraId="4E722434" w14:textId="4C2597D2" w:rsidR="009F560B" w:rsidRPr="0011621D" w:rsidRDefault="009F560B" w:rsidP="009F560B">
            <w:pPr>
              <w:autoSpaceDE w:val="0"/>
              <w:autoSpaceDN w:val="0"/>
              <w:adjustRightInd w:val="0"/>
              <w:spacing w:line="252" w:lineRule="auto"/>
              <w:rPr>
                <w:rFonts w:cstheme="minorHAnsi"/>
                <w:b/>
                <w:bCs/>
                <w:color w:val="000000"/>
              </w:rPr>
            </w:pPr>
            <w:r w:rsidRPr="0011621D">
              <w:rPr>
                <w:rFonts w:cstheme="minorHAnsi"/>
                <w:b/>
                <w:bCs/>
                <w:color w:val="000000"/>
              </w:rPr>
              <w:t>Total Points</w:t>
            </w:r>
          </w:p>
        </w:tc>
        <w:tc>
          <w:tcPr>
            <w:tcW w:w="3408" w:type="pct"/>
            <w:gridSpan w:val="6"/>
            <w:vAlign w:val="center"/>
          </w:tcPr>
          <w:p w14:paraId="72D37F02" w14:textId="37D0E40D" w:rsidR="009F560B" w:rsidRPr="0011621D" w:rsidRDefault="009F560B" w:rsidP="009F560B">
            <w:pPr>
              <w:autoSpaceDE w:val="0"/>
              <w:autoSpaceDN w:val="0"/>
              <w:adjustRightInd w:val="0"/>
              <w:jc w:val="right"/>
              <w:rPr>
                <w:rFonts w:cstheme="minorHAnsi"/>
                <w:color w:val="000000"/>
              </w:rPr>
            </w:pPr>
            <w:r w:rsidRPr="0011621D">
              <w:rPr>
                <w:rFonts w:cstheme="minorHAnsi"/>
                <w:b/>
                <w:bCs/>
                <w:color w:val="000000"/>
              </w:rPr>
              <w:t>/6</w:t>
            </w:r>
            <w:r>
              <w:rPr>
                <w:rFonts w:cstheme="minorHAnsi"/>
                <w:b/>
                <w:bCs/>
                <w:color w:val="000000"/>
              </w:rPr>
              <w:t>0</w:t>
            </w:r>
          </w:p>
        </w:tc>
      </w:tr>
      <w:tr w:rsidR="009F560B" w:rsidRPr="0011621D" w14:paraId="6DD0C168" w14:textId="77777777" w:rsidTr="00995BB4">
        <w:trPr>
          <w:trHeight w:val="523"/>
        </w:trPr>
        <w:tc>
          <w:tcPr>
            <w:tcW w:w="5000" w:type="pct"/>
            <w:gridSpan w:val="7"/>
          </w:tcPr>
          <w:p w14:paraId="17336308" w14:textId="6E802584" w:rsidR="009F560B" w:rsidRPr="0011621D" w:rsidRDefault="009F560B" w:rsidP="009F560B">
            <w:pPr>
              <w:autoSpaceDE w:val="0"/>
              <w:autoSpaceDN w:val="0"/>
              <w:adjustRightInd w:val="0"/>
              <w:rPr>
                <w:rFonts w:cstheme="minorHAnsi"/>
                <w:b/>
              </w:rPr>
            </w:pPr>
            <w:proofErr w:type="gramStart"/>
            <w:r w:rsidRPr="0011621D">
              <w:rPr>
                <w:rFonts w:cstheme="minorHAnsi"/>
                <w:b/>
              </w:rPr>
              <w:t>Overall</w:t>
            </w:r>
            <w:proofErr w:type="gramEnd"/>
            <w:r w:rsidRPr="0011621D">
              <w:rPr>
                <w:rFonts w:cstheme="minorHAnsi"/>
                <w:b/>
              </w:rPr>
              <w:t xml:space="preserve"> Strengths (required)</w:t>
            </w:r>
          </w:p>
          <w:p w14:paraId="296AF031" w14:textId="77777777" w:rsidR="009F560B" w:rsidRPr="0011621D" w:rsidRDefault="009F560B" w:rsidP="009F560B">
            <w:pPr>
              <w:autoSpaceDE w:val="0"/>
              <w:autoSpaceDN w:val="0"/>
              <w:adjustRightInd w:val="0"/>
              <w:rPr>
                <w:rFonts w:cstheme="minorHAnsi"/>
                <w:bCs/>
              </w:rPr>
            </w:pPr>
          </w:p>
          <w:p w14:paraId="068D49D1" w14:textId="77777777" w:rsidR="009F560B" w:rsidRPr="0011621D" w:rsidRDefault="009F560B" w:rsidP="009F560B">
            <w:pPr>
              <w:autoSpaceDE w:val="0"/>
              <w:autoSpaceDN w:val="0"/>
              <w:adjustRightInd w:val="0"/>
              <w:rPr>
                <w:rFonts w:cstheme="minorHAnsi"/>
                <w:bCs/>
              </w:rPr>
            </w:pPr>
          </w:p>
          <w:p w14:paraId="75558B5F" w14:textId="77777777" w:rsidR="009F560B" w:rsidRPr="0011621D" w:rsidRDefault="009F560B" w:rsidP="009F560B">
            <w:pPr>
              <w:autoSpaceDE w:val="0"/>
              <w:autoSpaceDN w:val="0"/>
              <w:adjustRightInd w:val="0"/>
              <w:rPr>
                <w:rFonts w:cstheme="minorHAnsi"/>
              </w:rPr>
            </w:pPr>
          </w:p>
        </w:tc>
      </w:tr>
      <w:tr w:rsidR="009F560B" w:rsidRPr="0011621D" w14:paraId="55658FC6" w14:textId="77777777" w:rsidTr="00995BB4">
        <w:trPr>
          <w:trHeight w:val="523"/>
        </w:trPr>
        <w:tc>
          <w:tcPr>
            <w:tcW w:w="5000" w:type="pct"/>
            <w:gridSpan w:val="7"/>
          </w:tcPr>
          <w:p w14:paraId="7C98A365" w14:textId="480799D7" w:rsidR="009F560B" w:rsidRPr="0011621D" w:rsidRDefault="009F560B" w:rsidP="009F560B">
            <w:pPr>
              <w:autoSpaceDE w:val="0"/>
              <w:autoSpaceDN w:val="0"/>
              <w:adjustRightInd w:val="0"/>
              <w:rPr>
                <w:rFonts w:cstheme="minorHAnsi"/>
                <w:b/>
                <w:bCs/>
              </w:rPr>
            </w:pPr>
            <w:r w:rsidRPr="0011621D">
              <w:rPr>
                <w:rFonts w:cstheme="minorHAnsi"/>
                <w:b/>
                <w:bCs/>
              </w:rPr>
              <w:t>Overall Weaknesses (required)</w:t>
            </w:r>
          </w:p>
          <w:p w14:paraId="06C15A32" w14:textId="77777777" w:rsidR="009F560B" w:rsidRPr="0011621D" w:rsidRDefault="009F560B" w:rsidP="009F560B">
            <w:pPr>
              <w:autoSpaceDE w:val="0"/>
              <w:autoSpaceDN w:val="0"/>
              <w:adjustRightInd w:val="0"/>
              <w:rPr>
                <w:rFonts w:cstheme="minorHAnsi"/>
              </w:rPr>
            </w:pPr>
          </w:p>
          <w:p w14:paraId="42ADF76C" w14:textId="77777777" w:rsidR="009F560B" w:rsidRPr="0011621D" w:rsidRDefault="009F560B" w:rsidP="009F560B">
            <w:pPr>
              <w:autoSpaceDE w:val="0"/>
              <w:autoSpaceDN w:val="0"/>
              <w:adjustRightInd w:val="0"/>
              <w:rPr>
                <w:rFonts w:cstheme="minorHAnsi"/>
              </w:rPr>
            </w:pPr>
          </w:p>
          <w:p w14:paraId="26F9BA1C" w14:textId="77777777" w:rsidR="009F560B" w:rsidRPr="0011621D" w:rsidRDefault="009F560B" w:rsidP="009F560B">
            <w:pPr>
              <w:autoSpaceDE w:val="0"/>
              <w:autoSpaceDN w:val="0"/>
              <w:adjustRightInd w:val="0"/>
              <w:rPr>
                <w:rFonts w:cstheme="minorHAnsi"/>
              </w:rPr>
            </w:pPr>
          </w:p>
        </w:tc>
      </w:tr>
      <w:tr w:rsidR="009F560B" w:rsidRPr="0011621D" w14:paraId="799DE08F" w14:textId="77777777" w:rsidTr="00995BB4">
        <w:trPr>
          <w:trHeight w:val="1187"/>
        </w:trPr>
        <w:tc>
          <w:tcPr>
            <w:tcW w:w="5000" w:type="pct"/>
            <w:gridSpan w:val="7"/>
          </w:tcPr>
          <w:p w14:paraId="34498356" w14:textId="77777777" w:rsidR="009F560B" w:rsidRPr="0011621D" w:rsidRDefault="009F560B" w:rsidP="009F560B">
            <w:pPr>
              <w:rPr>
                <w:rFonts w:cstheme="minorHAnsi"/>
                <w:b/>
              </w:rPr>
            </w:pPr>
            <w:r w:rsidRPr="0011621D">
              <w:rPr>
                <w:rFonts w:cstheme="minorHAnsi"/>
                <w:b/>
              </w:rPr>
              <w:t xml:space="preserve">Indicate your final recommendation: </w:t>
            </w:r>
          </w:p>
          <w:p w14:paraId="03403D02" w14:textId="77777777" w:rsidR="009F560B" w:rsidRPr="0011621D" w:rsidRDefault="009F560B" w:rsidP="009F560B">
            <w:pPr>
              <w:pStyle w:val="ListParagraph"/>
              <w:numPr>
                <w:ilvl w:val="0"/>
                <w:numId w:val="6"/>
              </w:numPr>
              <w:rPr>
                <w:rFonts w:cstheme="minorHAnsi"/>
              </w:rPr>
            </w:pPr>
            <w:r w:rsidRPr="0011621D">
              <w:rPr>
                <w:rFonts w:cstheme="minorHAnsi"/>
              </w:rPr>
              <w:t xml:space="preserve">Recommend funding </w:t>
            </w:r>
          </w:p>
          <w:p w14:paraId="52712322" w14:textId="36B0D5D2" w:rsidR="009F560B" w:rsidRPr="0011621D" w:rsidRDefault="009F560B" w:rsidP="009F560B">
            <w:pPr>
              <w:pStyle w:val="ListParagraph"/>
              <w:numPr>
                <w:ilvl w:val="0"/>
                <w:numId w:val="6"/>
              </w:numPr>
              <w:rPr>
                <w:rFonts w:cstheme="minorHAnsi"/>
              </w:rPr>
            </w:pPr>
            <w:r w:rsidRPr="0011621D">
              <w:rPr>
                <w:rFonts w:cstheme="minorHAnsi"/>
              </w:rPr>
              <w:t>Unsure, warrants further discussion with committee</w:t>
            </w:r>
          </w:p>
          <w:p w14:paraId="595DAC0A" w14:textId="77777777" w:rsidR="009F560B" w:rsidRPr="0011621D" w:rsidRDefault="009F560B" w:rsidP="009F560B">
            <w:pPr>
              <w:pStyle w:val="ListParagraph"/>
              <w:numPr>
                <w:ilvl w:val="0"/>
                <w:numId w:val="6"/>
              </w:numPr>
              <w:rPr>
                <w:rFonts w:cstheme="minorHAnsi"/>
              </w:rPr>
            </w:pPr>
            <w:r w:rsidRPr="0011621D">
              <w:rPr>
                <w:rFonts w:cstheme="minorHAnsi"/>
              </w:rPr>
              <w:t>Decline for funding</w:t>
            </w:r>
          </w:p>
        </w:tc>
      </w:tr>
    </w:tbl>
    <w:p w14:paraId="38BCC17D" w14:textId="77777777" w:rsidR="007C02D0" w:rsidRPr="0011621D" w:rsidRDefault="007C02D0" w:rsidP="00D1518F">
      <w:pPr>
        <w:rPr>
          <w:rFonts w:cstheme="minorHAnsi"/>
        </w:rPr>
      </w:pPr>
    </w:p>
    <w:sectPr w:rsidR="007C02D0" w:rsidRPr="0011621D" w:rsidSect="003973C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D329D" w14:textId="77777777" w:rsidR="004D7EE0" w:rsidRDefault="004D7EE0" w:rsidP="0093416B">
      <w:pPr>
        <w:spacing w:after="0" w:line="240" w:lineRule="auto"/>
      </w:pPr>
      <w:r>
        <w:separator/>
      </w:r>
    </w:p>
  </w:endnote>
  <w:endnote w:type="continuationSeparator" w:id="0">
    <w:p w14:paraId="5E166B5E" w14:textId="77777777" w:rsidR="004D7EE0" w:rsidRDefault="004D7EE0" w:rsidP="00934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43FAC" w14:textId="77777777" w:rsidR="00A037BD" w:rsidRDefault="00A03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3887419"/>
      <w:docPartObj>
        <w:docPartGallery w:val="Page Numbers (Bottom of Page)"/>
        <w:docPartUnique/>
      </w:docPartObj>
    </w:sdtPr>
    <w:sdtEndPr>
      <w:rPr>
        <w:noProof/>
      </w:rPr>
    </w:sdtEndPr>
    <w:sdtContent>
      <w:p w14:paraId="33E8215D" w14:textId="66C912CE" w:rsidR="003D7051" w:rsidRDefault="003D7051">
        <w:pPr>
          <w:pStyle w:val="Footer"/>
          <w:jc w:val="center"/>
        </w:pPr>
        <w:r>
          <w:fldChar w:fldCharType="begin"/>
        </w:r>
        <w:r>
          <w:instrText xml:space="preserve"> PAGE   \* MERGEFORMAT </w:instrText>
        </w:r>
        <w:r>
          <w:fldChar w:fldCharType="separate"/>
        </w:r>
        <w:r w:rsidR="007D3C4E">
          <w:rPr>
            <w:noProof/>
          </w:rPr>
          <w:t>2</w:t>
        </w:r>
        <w:r>
          <w:rPr>
            <w:noProof/>
          </w:rPr>
          <w:fldChar w:fldCharType="end"/>
        </w:r>
      </w:p>
    </w:sdtContent>
  </w:sdt>
  <w:p w14:paraId="3666750C" w14:textId="77777777" w:rsidR="003D7051" w:rsidRDefault="003D70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7E5DC" w14:textId="77777777" w:rsidR="00A037BD" w:rsidRDefault="00A03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BDBAE" w14:textId="77777777" w:rsidR="004D7EE0" w:rsidRDefault="004D7EE0" w:rsidP="0093416B">
      <w:pPr>
        <w:spacing w:after="0" w:line="240" w:lineRule="auto"/>
      </w:pPr>
      <w:r>
        <w:separator/>
      </w:r>
    </w:p>
  </w:footnote>
  <w:footnote w:type="continuationSeparator" w:id="0">
    <w:p w14:paraId="044AB774" w14:textId="77777777" w:rsidR="004D7EE0" w:rsidRDefault="004D7EE0" w:rsidP="0093416B">
      <w:pPr>
        <w:spacing w:after="0" w:line="240" w:lineRule="auto"/>
      </w:pPr>
      <w:r>
        <w:continuationSeparator/>
      </w:r>
    </w:p>
  </w:footnote>
  <w:footnote w:id="1">
    <w:p w14:paraId="6504EC94" w14:textId="255DDAF3" w:rsidR="0011621D" w:rsidRDefault="0011621D">
      <w:pPr>
        <w:pStyle w:val="FootnoteText"/>
      </w:pPr>
      <w:r>
        <w:rPr>
          <w:rStyle w:val="FootnoteReference"/>
        </w:rPr>
        <w:footnoteRef/>
      </w:r>
      <w:r>
        <w:t xml:space="preserve"> </w:t>
      </w:r>
      <w:r w:rsidRPr="0011621D">
        <w:t>Examples of paraprofessional roles include but are not limited to: Behavioral Health Technician, Certified Nursing Assistant, Clinical Assistant, Care Companion, Behavioral Health Counselor, Mental Health Specialists, Family Partner, Community Health Worker,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34C31" w14:textId="77777777" w:rsidR="00A037BD" w:rsidRDefault="00A03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DBBE8" w14:textId="77777777" w:rsidR="00A037BD" w:rsidRPr="00500378" w:rsidRDefault="00A037BD" w:rsidP="009204BF">
    <w:pPr>
      <w:spacing w:after="0"/>
      <w:jc w:val="center"/>
      <w:rPr>
        <w:rFonts w:cstheme="minorHAnsi"/>
        <w:b/>
        <w:i/>
      </w:rPr>
    </w:pPr>
    <w:r w:rsidRPr="00500378">
      <w:rPr>
        <w:rFonts w:cstheme="minorHAnsi"/>
        <w:b/>
        <w:i/>
      </w:rPr>
      <w:t>Franciscan Children’s Community Health Initiative</w:t>
    </w:r>
  </w:p>
  <w:p w14:paraId="352A0186" w14:textId="7A0BD881" w:rsidR="00A037BD" w:rsidRPr="00500378" w:rsidRDefault="00A037BD" w:rsidP="009204BF">
    <w:pPr>
      <w:spacing w:after="0"/>
      <w:jc w:val="center"/>
      <w:rPr>
        <w:rFonts w:cstheme="minorHAnsi"/>
        <w:b/>
        <w:i/>
        <w:sz w:val="20"/>
        <w:szCs w:val="20"/>
      </w:rPr>
    </w:pPr>
    <w:r w:rsidRPr="00500378">
      <w:rPr>
        <w:rFonts w:cstheme="minorHAnsi"/>
        <w:b/>
        <w:i/>
        <w:sz w:val="20"/>
        <w:szCs w:val="20"/>
      </w:rPr>
      <w:t xml:space="preserve">a part of Boston Children’s Collaboration for Community Health </w:t>
    </w:r>
  </w:p>
  <w:p w14:paraId="42F9FB58" w14:textId="051296A6" w:rsidR="009204BF" w:rsidRPr="009204BF" w:rsidRDefault="009204BF" w:rsidP="009204BF">
    <w:pPr>
      <w:spacing w:after="0"/>
      <w:jc w:val="center"/>
      <w:rPr>
        <w:rFonts w:cstheme="minorHAnsi"/>
        <w:b/>
        <w:i/>
      </w:rPr>
    </w:pPr>
    <w:r w:rsidRPr="009204BF">
      <w:rPr>
        <w:rFonts w:cstheme="minorHAnsi"/>
        <w:b/>
        <w:i/>
      </w:rPr>
      <w:t>Expanding and Diversifying the Children’s Mental and Behavioral Health Workforce</w:t>
    </w:r>
  </w:p>
  <w:p w14:paraId="4E1900D6" w14:textId="48D5A4A0" w:rsidR="0093416B" w:rsidRDefault="0093416B" w:rsidP="009204BF">
    <w:pPr>
      <w:spacing w:after="0"/>
      <w:jc w:val="center"/>
      <w:rPr>
        <w:rFonts w:cstheme="minorHAnsi"/>
        <w:b/>
        <w:i/>
      </w:rPr>
    </w:pPr>
    <w:r w:rsidRPr="000930A6">
      <w:rPr>
        <w:rFonts w:cstheme="minorHAnsi"/>
        <w:b/>
        <w:i/>
      </w:rPr>
      <w:t>Proposal Review Tool</w:t>
    </w:r>
  </w:p>
  <w:p w14:paraId="68450EE2" w14:textId="77777777" w:rsidR="00FF3140" w:rsidRPr="000930A6" w:rsidRDefault="00FF3140" w:rsidP="009204BF">
    <w:pPr>
      <w:spacing w:after="0"/>
      <w:jc w:val="center"/>
      <w:rPr>
        <w:rFonts w:cstheme="minorHAnsi"/>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3ED92" w14:textId="77777777" w:rsidR="00A037BD" w:rsidRDefault="00A03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1C9F"/>
    <w:multiLevelType w:val="hybridMultilevel"/>
    <w:tmpl w:val="50728ECA"/>
    <w:lvl w:ilvl="0" w:tplc="1DD25A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074A7"/>
    <w:multiLevelType w:val="hybridMultilevel"/>
    <w:tmpl w:val="0A4E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343EB"/>
    <w:multiLevelType w:val="hybridMultilevel"/>
    <w:tmpl w:val="C43A6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156866"/>
    <w:multiLevelType w:val="hybridMultilevel"/>
    <w:tmpl w:val="C334406E"/>
    <w:lvl w:ilvl="0" w:tplc="1DD25A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C5621"/>
    <w:multiLevelType w:val="hybridMultilevel"/>
    <w:tmpl w:val="F6AA5E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2E282A"/>
    <w:multiLevelType w:val="hybridMultilevel"/>
    <w:tmpl w:val="6930B794"/>
    <w:lvl w:ilvl="0" w:tplc="4A923338">
      <w:start w:val="1"/>
      <w:numFmt w:val="decimal"/>
      <w:lvlText w:val="%1."/>
      <w:lvlJc w:val="left"/>
      <w:pPr>
        <w:ind w:left="720" w:hanging="360"/>
      </w:pPr>
      <w:rPr>
        <w:rFonts w:ascii="Calibri" w:hAnsi="Calibri" w:cs="Calibri" w:hint="default"/>
        <w:b/>
        <w:bCs/>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AA1EF6"/>
    <w:multiLevelType w:val="hybridMultilevel"/>
    <w:tmpl w:val="AE489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3330FE"/>
    <w:multiLevelType w:val="hybridMultilevel"/>
    <w:tmpl w:val="666CB8E8"/>
    <w:lvl w:ilvl="0" w:tplc="1DD25A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6C0FBB"/>
    <w:multiLevelType w:val="hybridMultilevel"/>
    <w:tmpl w:val="7BB0A3F6"/>
    <w:lvl w:ilvl="0" w:tplc="15F84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459AD"/>
    <w:multiLevelType w:val="hybridMultilevel"/>
    <w:tmpl w:val="001A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906050"/>
    <w:multiLevelType w:val="hybridMultilevel"/>
    <w:tmpl w:val="559A5E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C4D7A12"/>
    <w:multiLevelType w:val="hybridMultilevel"/>
    <w:tmpl w:val="CF5E0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AE3B57"/>
    <w:multiLevelType w:val="hybridMultilevel"/>
    <w:tmpl w:val="820EE4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94A1C58"/>
    <w:multiLevelType w:val="hybridMultilevel"/>
    <w:tmpl w:val="10200C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75953383"/>
    <w:multiLevelType w:val="hybridMultilevel"/>
    <w:tmpl w:val="8020C78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3750805">
    <w:abstractNumId w:val="2"/>
  </w:num>
  <w:num w:numId="2" w16cid:durableId="180819930">
    <w:abstractNumId w:val="7"/>
  </w:num>
  <w:num w:numId="3" w16cid:durableId="1941330046">
    <w:abstractNumId w:val="11"/>
  </w:num>
  <w:num w:numId="4" w16cid:durableId="813178119">
    <w:abstractNumId w:val="4"/>
  </w:num>
  <w:num w:numId="5" w16cid:durableId="1105803665">
    <w:abstractNumId w:val="9"/>
  </w:num>
  <w:num w:numId="6" w16cid:durableId="1898778624">
    <w:abstractNumId w:val="3"/>
  </w:num>
  <w:num w:numId="7" w16cid:durableId="432241756">
    <w:abstractNumId w:val="0"/>
  </w:num>
  <w:num w:numId="8" w16cid:durableId="434445492">
    <w:abstractNumId w:val="6"/>
  </w:num>
  <w:num w:numId="9" w16cid:durableId="1664158358">
    <w:abstractNumId w:val="10"/>
  </w:num>
  <w:num w:numId="10" w16cid:durableId="1780637911">
    <w:abstractNumId w:val="12"/>
  </w:num>
  <w:num w:numId="11" w16cid:durableId="709036019">
    <w:abstractNumId w:val="14"/>
    <w:lvlOverride w:ilvl="0">
      <w:startOverride w:val="1"/>
    </w:lvlOverride>
    <w:lvlOverride w:ilvl="1"/>
    <w:lvlOverride w:ilvl="2"/>
    <w:lvlOverride w:ilvl="3"/>
    <w:lvlOverride w:ilvl="4"/>
    <w:lvlOverride w:ilvl="5"/>
    <w:lvlOverride w:ilvl="6"/>
    <w:lvlOverride w:ilvl="7"/>
    <w:lvlOverride w:ilvl="8"/>
  </w:num>
  <w:num w:numId="12" w16cid:durableId="365176328">
    <w:abstractNumId w:val="1"/>
  </w:num>
  <w:num w:numId="13" w16cid:durableId="110978035">
    <w:abstractNumId w:val="8"/>
  </w:num>
  <w:num w:numId="14" w16cid:durableId="4934963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46126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FA8"/>
    <w:rsid w:val="000056AC"/>
    <w:rsid w:val="00014CA7"/>
    <w:rsid w:val="00036598"/>
    <w:rsid w:val="0004200F"/>
    <w:rsid w:val="00056BC9"/>
    <w:rsid w:val="00057197"/>
    <w:rsid w:val="00061D15"/>
    <w:rsid w:val="0008061F"/>
    <w:rsid w:val="000844BD"/>
    <w:rsid w:val="00093085"/>
    <w:rsid w:val="000930A6"/>
    <w:rsid w:val="00096C9A"/>
    <w:rsid w:val="000B36AA"/>
    <w:rsid w:val="000C0656"/>
    <w:rsid w:val="000C6C1A"/>
    <w:rsid w:val="000D59EE"/>
    <w:rsid w:val="000E1337"/>
    <w:rsid w:val="000E3721"/>
    <w:rsid w:val="000F1C30"/>
    <w:rsid w:val="000F65EE"/>
    <w:rsid w:val="0010241D"/>
    <w:rsid w:val="00104B74"/>
    <w:rsid w:val="00106A59"/>
    <w:rsid w:val="0011621D"/>
    <w:rsid w:val="001307BE"/>
    <w:rsid w:val="0014193C"/>
    <w:rsid w:val="00143FBB"/>
    <w:rsid w:val="0015389D"/>
    <w:rsid w:val="00162E2A"/>
    <w:rsid w:val="0016602B"/>
    <w:rsid w:val="001743FE"/>
    <w:rsid w:val="00182984"/>
    <w:rsid w:val="0019092B"/>
    <w:rsid w:val="00195F78"/>
    <w:rsid w:val="001A1A37"/>
    <w:rsid w:val="001B1E7B"/>
    <w:rsid w:val="001F1A2E"/>
    <w:rsid w:val="001F6925"/>
    <w:rsid w:val="00216F07"/>
    <w:rsid w:val="002258BE"/>
    <w:rsid w:val="00252A79"/>
    <w:rsid w:val="0025398F"/>
    <w:rsid w:val="002704F4"/>
    <w:rsid w:val="002749F4"/>
    <w:rsid w:val="002931B1"/>
    <w:rsid w:val="002B165A"/>
    <w:rsid w:val="002B7091"/>
    <w:rsid w:val="002C3689"/>
    <w:rsid w:val="002E3C17"/>
    <w:rsid w:val="00305F48"/>
    <w:rsid w:val="003379C1"/>
    <w:rsid w:val="003410D7"/>
    <w:rsid w:val="003419F0"/>
    <w:rsid w:val="003429C0"/>
    <w:rsid w:val="00344014"/>
    <w:rsid w:val="00345913"/>
    <w:rsid w:val="00357B65"/>
    <w:rsid w:val="003762FF"/>
    <w:rsid w:val="003836E6"/>
    <w:rsid w:val="003973CD"/>
    <w:rsid w:val="003A18BD"/>
    <w:rsid w:val="003A20A3"/>
    <w:rsid w:val="003C2608"/>
    <w:rsid w:val="003C5088"/>
    <w:rsid w:val="003D3429"/>
    <w:rsid w:val="003D3C99"/>
    <w:rsid w:val="003D7051"/>
    <w:rsid w:val="003E4CEE"/>
    <w:rsid w:val="004212CB"/>
    <w:rsid w:val="00430459"/>
    <w:rsid w:val="004375E0"/>
    <w:rsid w:val="0044172D"/>
    <w:rsid w:val="00445532"/>
    <w:rsid w:val="00452BE2"/>
    <w:rsid w:val="004531CE"/>
    <w:rsid w:val="0046019F"/>
    <w:rsid w:val="00464915"/>
    <w:rsid w:val="004B78E5"/>
    <w:rsid w:val="004C2299"/>
    <w:rsid w:val="004C35D8"/>
    <w:rsid w:val="004C7F32"/>
    <w:rsid w:val="004D7EE0"/>
    <w:rsid w:val="004E1717"/>
    <w:rsid w:val="004E1DDC"/>
    <w:rsid w:val="004F0AB4"/>
    <w:rsid w:val="004F6EA8"/>
    <w:rsid w:val="00500378"/>
    <w:rsid w:val="0050153C"/>
    <w:rsid w:val="00505ED7"/>
    <w:rsid w:val="00512208"/>
    <w:rsid w:val="00524241"/>
    <w:rsid w:val="005504C6"/>
    <w:rsid w:val="00552AFE"/>
    <w:rsid w:val="00563E79"/>
    <w:rsid w:val="00563EE7"/>
    <w:rsid w:val="00564A63"/>
    <w:rsid w:val="00565613"/>
    <w:rsid w:val="00576CF4"/>
    <w:rsid w:val="005E01A6"/>
    <w:rsid w:val="005E7B47"/>
    <w:rsid w:val="005F6C5F"/>
    <w:rsid w:val="006105EF"/>
    <w:rsid w:val="00622D96"/>
    <w:rsid w:val="006414D2"/>
    <w:rsid w:val="006611AF"/>
    <w:rsid w:val="00661BC5"/>
    <w:rsid w:val="00667E4B"/>
    <w:rsid w:val="00677362"/>
    <w:rsid w:val="00680DBD"/>
    <w:rsid w:val="006B1D68"/>
    <w:rsid w:val="00710F8A"/>
    <w:rsid w:val="00721507"/>
    <w:rsid w:val="00726C22"/>
    <w:rsid w:val="0073570B"/>
    <w:rsid w:val="00745972"/>
    <w:rsid w:val="007606CA"/>
    <w:rsid w:val="00761DC6"/>
    <w:rsid w:val="00762A80"/>
    <w:rsid w:val="00762EE6"/>
    <w:rsid w:val="00764007"/>
    <w:rsid w:val="00787F28"/>
    <w:rsid w:val="00796497"/>
    <w:rsid w:val="007A2E96"/>
    <w:rsid w:val="007A5A41"/>
    <w:rsid w:val="007B3285"/>
    <w:rsid w:val="007B56A4"/>
    <w:rsid w:val="007C02D0"/>
    <w:rsid w:val="007C4542"/>
    <w:rsid w:val="007D3C4E"/>
    <w:rsid w:val="007D4E8D"/>
    <w:rsid w:val="007F1889"/>
    <w:rsid w:val="007F7D88"/>
    <w:rsid w:val="0082387B"/>
    <w:rsid w:val="00847B2B"/>
    <w:rsid w:val="00866553"/>
    <w:rsid w:val="00880682"/>
    <w:rsid w:val="008833DF"/>
    <w:rsid w:val="008841FA"/>
    <w:rsid w:val="00886D70"/>
    <w:rsid w:val="008A1A8C"/>
    <w:rsid w:val="008B63DB"/>
    <w:rsid w:val="008B776D"/>
    <w:rsid w:val="008D539D"/>
    <w:rsid w:val="008E72A9"/>
    <w:rsid w:val="008F1A50"/>
    <w:rsid w:val="00905F18"/>
    <w:rsid w:val="009071C6"/>
    <w:rsid w:val="009130F8"/>
    <w:rsid w:val="00913908"/>
    <w:rsid w:val="00914559"/>
    <w:rsid w:val="009204BF"/>
    <w:rsid w:val="009314AA"/>
    <w:rsid w:val="0093416B"/>
    <w:rsid w:val="00946097"/>
    <w:rsid w:val="00955D21"/>
    <w:rsid w:val="009664DE"/>
    <w:rsid w:val="00993465"/>
    <w:rsid w:val="00995BB4"/>
    <w:rsid w:val="009C10FB"/>
    <w:rsid w:val="009C1E11"/>
    <w:rsid w:val="009C4C0E"/>
    <w:rsid w:val="009D0A0D"/>
    <w:rsid w:val="009D2F91"/>
    <w:rsid w:val="009D6922"/>
    <w:rsid w:val="009F560B"/>
    <w:rsid w:val="00A037BD"/>
    <w:rsid w:val="00A052A5"/>
    <w:rsid w:val="00A06611"/>
    <w:rsid w:val="00A07F07"/>
    <w:rsid w:val="00A16FA8"/>
    <w:rsid w:val="00A25AD3"/>
    <w:rsid w:val="00A2645A"/>
    <w:rsid w:val="00A31014"/>
    <w:rsid w:val="00A37A19"/>
    <w:rsid w:val="00A40304"/>
    <w:rsid w:val="00A54E61"/>
    <w:rsid w:val="00A57309"/>
    <w:rsid w:val="00A63C7E"/>
    <w:rsid w:val="00A816AE"/>
    <w:rsid w:val="00A95D59"/>
    <w:rsid w:val="00AA152F"/>
    <w:rsid w:val="00AE644E"/>
    <w:rsid w:val="00B05BB8"/>
    <w:rsid w:val="00B41A99"/>
    <w:rsid w:val="00B61AE6"/>
    <w:rsid w:val="00B65251"/>
    <w:rsid w:val="00B830FF"/>
    <w:rsid w:val="00BA7F3C"/>
    <w:rsid w:val="00BC1DFF"/>
    <w:rsid w:val="00BC279E"/>
    <w:rsid w:val="00BC62D8"/>
    <w:rsid w:val="00BE0D6E"/>
    <w:rsid w:val="00BF13C0"/>
    <w:rsid w:val="00BF4ED1"/>
    <w:rsid w:val="00BF7C91"/>
    <w:rsid w:val="00C17EDF"/>
    <w:rsid w:val="00C3497B"/>
    <w:rsid w:val="00C53436"/>
    <w:rsid w:val="00CA49A7"/>
    <w:rsid w:val="00CB1315"/>
    <w:rsid w:val="00CC06F0"/>
    <w:rsid w:val="00CC305D"/>
    <w:rsid w:val="00CC5695"/>
    <w:rsid w:val="00CD3427"/>
    <w:rsid w:val="00CE1933"/>
    <w:rsid w:val="00CF1DD0"/>
    <w:rsid w:val="00D00331"/>
    <w:rsid w:val="00D01383"/>
    <w:rsid w:val="00D01DE0"/>
    <w:rsid w:val="00D045B5"/>
    <w:rsid w:val="00D1518F"/>
    <w:rsid w:val="00D21B12"/>
    <w:rsid w:val="00D26240"/>
    <w:rsid w:val="00D269E4"/>
    <w:rsid w:val="00D50391"/>
    <w:rsid w:val="00D60629"/>
    <w:rsid w:val="00DB2938"/>
    <w:rsid w:val="00DB6892"/>
    <w:rsid w:val="00DC59F9"/>
    <w:rsid w:val="00DF3488"/>
    <w:rsid w:val="00E01B55"/>
    <w:rsid w:val="00E06471"/>
    <w:rsid w:val="00E06CC4"/>
    <w:rsid w:val="00E641F1"/>
    <w:rsid w:val="00E76D1C"/>
    <w:rsid w:val="00EA3187"/>
    <w:rsid w:val="00EB1E6C"/>
    <w:rsid w:val="00ED3044"/>
    <w:rsid w:val="00EE1828"/>
    <w:rsid w:val="00EE63DA"/>
    <w:rsid w:val="00EF0558"/>
    <w:rsid w:val="00EF5BF4"/>
    <w:rsid w:val="00F356DA"/>
    <w:rsid w:val="00F565F1"/>
    <w:rsid w:val="00F76FE3"/>
    <w:rsid w:val="00F85C63"/>
    <w:rsid w:val="00FB79D4"/>
    <w:rsid w:val="00FC337E"/>
    <w:rsid w:val="00FC451D"/>
    <w:rsid w:val="00FF059C"/>
    <w:rsid w:val="00FF2CC9"/>
    <w:rsid w:val="00FF3140"/>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B4E70B"/>
  <w15:docId w15:val="{D72F55A2-7FCC-45AC-B386-E3EAD030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FA8"/>
    <w:pPr>
      <w:ind w:left="720"/>
      <w:contextualSpacing/>
    </w:pPr>
  </w:style>
  <w:style w:type="character" w:styleId="CommentReference">
    <w:name w:val="annotation reference"/>
    <w:basedOn w:val="DefaultParagraphFont"/>
    <w:uiPriority w:val="99"/>
    <w:semiHidden/>
    <w:unhideWhenUsed/>
    <w:rsid w:val="00A16FA8"/>
    <w:rPr>
      <w:sz w:val="16"/>
      <w:szCs w:val="16"/>
    </w:rPr>
  </w:style>
  <w:style w:type="paragraph" w:styleId="CommentText">
    <w:name w:val="annotation text"/>
    <w:basedOn w:val="Normal"/>
    <w:link w:val="CommentTextChar"/>
    <w:uiPriority w:val="99"/>
    <w:unhideWhenUsed/>
    <w:rsid w:val="00A16FA8"/>
    <w:pPr>
      <w:spacing w:line="240" w:lineRule="auto"/>
    </w:pPr>
    <w:rPr>
      <w:sz w:val="20"/>
      <w:szCs w:val="20"/>
    </w:rPr>
  </w:style>
  <w:style w:type="character" w:customStyle="1" w:styleId="CommentTextChar">
    <w:name w:val="Comment Text Char"/>
    <w:basedOn w:val="DefaultParagraphFont"/>
    <w:link w:val="CommentText"/>
    <w:uiPriority w:val="99"/>
    <w:rsid w:val="00A16FA8"/>
    <w:rPr>
      <w:sz w:val="20"/>
      <w:szCs w:val="20"/>
    </w:rPr>
  </w:style>
  <w:style w:type="paragraph" w:styleId="BalloonText">
    <w:name w:val="Balloon Text"/>
    <w:basedOn w:val="Normal"/>
    <w:link w:val="BalloonTextChar"/>
    <w:uiPriority w:val="99"/>
    <w:semiHidden/>
    <w:unhideWhenUsed/>
    <w:rsid w:val="00A16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FA8"/>
    <w:rPr>
      <w:rFonts w:ascii="Segoe UI" w:hAnsi="Segoe UI" w:cs="Segoe UI"/>
      <w:sz w:val="18"/>
      <w:szCs w:val="18"/>
    </w:rPr>
  </w:style>
  <w:style w:type="paragraph" w:styleId="Header">
    <w:name w:val="header"/>
    <w:basedOn w:val="Normal"/>
    <w:link w:val="HeaderChar"/>
    <w:uiPriority w:val="99"/>
    <w:unhideWhenUsed/>
    <w:rsid w:val="00934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16B"/>
  </w:style>
  <w:style w:type="paragraph" w:styleId="Footer">
    <w:name w:val="footer"/>
    <w:basedOn w:val="Normal"/>
    <w:link w:val="FooterChar"/>
    <w:uiPriority w:val="99"/>
    <w:unhideWhenUsed/>
    <w:rsid w:val="00934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16B"/>
  </w:style>
  <w:style w:type="table" w:styleId="TableGrid">
    <w:name w:val="Table Grid"/>
    <w:basedOn w:val="TableNormal"/>
    <w:uiPriority w:val="39"/>
    <w:rsid w:val="001A1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B1E7B"/>
    <w:rPr>
      <w:b/>
      <w:bCs/>
    </w:rPr>
  </w:style>
  <w:style w:type="character" w:customStyle="1" w:styleId="CommentSubjectChar">
    <w:name w:val="Comment Subject Char"/>
    <w:basedOn w:val="CommentTextChar"/>
    <w:link w:val="CommentSubject"/>
    <w:uiPriority w:val="99"/>
    <w:semiHidden/>
    <w:rsid w:val="001B1E7B"/>
    <w:rPr>
      <w:b/>
      <w:bCs/>
      <w:sz w:val="20"/>
      <w:szCs w:val="20"/>
    </w:rPr>
  </w:style>
  <w:style w:type="paragraph" w:styleId="FootnoteText">
    <w:name w:val="footnote text"/>
    <w:basedOn w:val="Normal"/>
    <w:link w:val="FootnoteTextChar"/>
    <w:uiPriority w:val="99"/>
    <w:semiHidden/>
    <w:unhideWhenUsed/>
    <w:rsid w:val="00E641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41F1"/>
    <w:rPr>
      <w:sz w:val="20"/>
      <w:szCs w:val="20"/>
    </w:rPr>
  </w:style>
  <w:style w:type="character" w:styleId="FootnoteReference">
    <w:name w:val="footnote reference"/>
    <w:basedOn w:val="DefaultParagraphFont"/>
    <w:uiPriority w:val="99"/>
    <w:semiHidden/>
    <w:unhideWhenUsed/>
    <w:rsid w:val="00E641F1"/>
    <w:rPr>
      <w:vertAlign w:val="superscript"/>
    </w:rPr>
  </w:style>
  <w:style w:type="character" w:styleId="Hyperlink">
    <w:name w:val="Hyperlink"/>
    <w:basedOn w:val="DefaultParagraphFont"/>
    <w:uiPriority w:val="99"/>
    <w:unhideWhenUsed/>
    <w:rsid w:val="00880682"/>
    <w:rPr>
      <w:color w:val="0000FF"/>
      <w:u w:val="single"/>
    </w:rPr>
  </w:style>
  <w:style w:type="character" w:styleId="Emphasis">
    <w:name w:val="Emphasis"/>
    <w:basedOn w:val="DefaultParagraphFont"/>
    <w:uiPriority w:val="20"/>
    <w:qFormat/>
    <w:rsid w:val="0073570B"/>
    <w:rPr>
      <w:i/>
      <w:iCs/>
    </w:rPr>
  </w:style>
  <w:style w:type="character" w:styleId="Strong">
    <w:name w:val="Strong"/>
    <w:basedOn w:val="DefaultParagraphFont"/>
    <w:uiPriority w:val="22"/>
    <w:qFormat/>
    <w:rsid w:val="00A052A5"/>
    <w:rPr>
      <w:b/>
      <w:bCs/>
    </w:rPr>
  </w:style>
  <w:style w:type="character" w:customStyle="1" w:styleId="UnresolvedMention1">
    <w:name w:val="Unresolved Mention1"/>
    <w:basedOn w:val="DefaultParagraphFont"/>
    <w:uiPriority w:val="99"/>
    <w:semiHidden/>
    <w:unhideWhenUsed/>
    <w:rsid w:val="008B63DB"/>
    <w:rPr>
      <w:color w:val="605E5C"/>
      <w:shd w:val="clear" w:color="auto" w:fill="E1DFDD"/>
    </w:rPr>
  </w:style>
  <w:style w:type="paragraph" w:styleId="Revision">
    <w:name w:val="Revision"/>
    <w:hidden/>
    <w:uiPriority w:val="99"/>
    <w:semiHidden/>
    <w:rsid w:val="0011621D"/>
    <w:pPr>
      <w:spacing w:after="0" w:line="240" w:lineRule="auto"/>
    </w:pPr>
  </w:style>
  <w:style w:type="character" w:styleId="UnresolvedMention">
    <w:name w:val="Unresolved Mention"/>
    <w:basedOn w:val="DefaultParagraphFont"/>
    <w:uiPriority w:val="99"/>
    <w:semiHidden/>
    <w:unhideWhenUsed/>
    <w:rsid w:val="00116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996229">
      <w:bodyDiv w:val="1"/>
      <w:marLeft w:val="0"/>
      <w:marRight w:val="0"/>
      <w:marTop w:val="0"/>
      <w:marBottom w:val="0"/>
      <w:divBdr>
        <w:top w:val="none" w:sz="0" w:space="0" w:color="auto"/>
        <w:left w:val="none" w:sz="0" w:space="0" w:color="auto"/>
        <w:bottom w:val="none" w:sz="0" w:space="0" w:color="auto"/>
        <w:right w:val="none" w:sz="0" w:space="0" w:color="auto"/>
      </w:divBdr>
    </w:div>
    <w:div w:id="296884088">
      <w:bodyDiv w:val="1"/>
      <w:marLeft w:val="0"/>
      <w:marRight w:val="0"/>
      <w:marTop w:val="0"/>
      <w:marBottom w:val="0"/>
      <w:divBdr>
        <w:top w:val="none" w:sz="0" w:space="0" w:color="auto"/>
        <w:left w:val="none" w:sz="0" w:space="0" w:color="auto"/>
        <w:bottom w:val="none" w:sz="0" w:space="0" w:color="auto"/>
        <w:right w:val="none" w:sz="0" w:space="0" w:color="auto"/>
      </w:divBdr>
    </w:div>
    <w:div w:id="696077315">
      <w:bodyDiv w:val="1"/>
      <w:marLeft w:val="0"/>
      <w:marRight w:val="0"/>
      <w:marTop w:val="0"/>
      <w:marBottom w:val="0"/>
      <w:divBdr>
        <w:top w:val="none" w:sz="0" w:space="0" w:color="auto"/>
        <w:left w:val="none" w:sz="0" w:space="0" w:color="auto"/>
        <w:bottom w:val="none" w:sz="0" w:space="0" w:color="auto"/>
        <w:right w:val="none" w:sz="0" w:space="0" w:color="auto"/>
      </w:divBdr>
    </w:div>
    <w:div w:id="832574871">
      <w:bodyDiv w:val="1"/>
      <w:marLeft w:val="0"/>
      <w:marRight w:val="0"/>
      <w:marTop w:val="0"/>
      <w:marBottom w:val="0"/>
      <w:divBdr>
        <w:top w:val="none" w:sz="0" w:space="0" w:color="auto"/>
        <w:left w:val="none" w:sz="0" w:space="0" w:color="auto"/>
        <w:bottom w:val="none" w:sz="0" w:space="0" w:color="auto"/>
        <w:right w:val="none" w:sz="0" w:space="0" w:color="auto"/>
      </w:divBdr>
    </w:div>
    <w:div w:id="973757801">
      <w:bodyDiv w:val="1"/>
      <w:marLeft w:val="0"/>
      <w:marRight w:val="0"/>
      <w:marTop w:val="0"/>
      <w:marBottom w:val="0"/>
      <w:divBdr>
        <w:top w:val="none" w:sz="0" w:space="0" w:color="auto"/>
        <w:left w:val="none" w:sz="0" w:space="0" w:color="auto"/>
        <w:bottom w:val="none" w:sz="0" w:space="0" w:color="auto"/>
        <w:right w:val="none" w:sz="0" w:space="0" w:color="auto"/>
      </w:divBdr>
    </w:div>
    <w:div w:id="1180971127">
      <w:bodyDiv w:val="1"/>
      <w:marLeft w:val="0"/>
      <w:marRight w:val="0"/>
      <w:marTop w:val="0"/>
      <w:marBottom w:val="0"/>
      <w:divBdr>
        <w:top w:val="none" w:sz="0" w:space="0" w:color="auto"/>
        <w:left w:val="none" w:sz="0" w:space="0" w:color="auto"/>
        <w:bottom w:val="none" w:sz="0" w:space="0" w:color="auto"/>
        <w:right w:val="none" w:sz="0" w:space="0" w:color="auto"/>
      </w:divBdr>
    </w:div>
    <w:div w:id="1209877550">
      <w:bodyDiv w:val="1"/>
      <w:marLeft w:val="0"/>
      <w:marRight w:val="0"/>
      <w:marTop w:val="0"/>
      <w:marBottom w:val="0"/>
      <w:divBdr>
        <w:top w:val="none" w:sz="0" w:space="0" w:color="auto"/>
        <w:left w:val="none" w:sz="0" w:space="0" w:color="auto"/>
        <w:bottom w:val="none" w:sz="0" w:space="0" w:color="auto"/>
        <w:right w:val="none" w:sz="0" w:space="0" w:color="auto"/>
      </w:divBdr>
    </w:div>
    <w:div w:id="1296718580">
      <w:bodyDiv w:val="1"/>
      <w:marLeft w:val="0"/>
      <w:marRight w:val="0"/>
      <w:marTop w:val="0"/>
      <w:marBottom w:val="0"/>
      <w:divBdr>
        <w:top w:val="none" w:sz="0" w:space="0" w:color="auto"/>
        <w:left w:val="none" w:sz="0" w:space="0" w:color="auto"/>
        <w:bottom w:val="none" w:sz="0" w:space="0" w:color="auto"/>
        <w:right w:val="none" w:sz="0" w:space="0" w:color="auto"/>
      </w:divBdr>
    </w:div>
    <w:div w:id="1917548448">
      <w:bodyDiv w:val="1"/>
      <w:marLeft w:val="0"/>
      <w:marRight w:val="0"/>
      <w:marTop w:val="0"/>
      <w:marBottom w:val="0"/>
      <w:divBdr>
        <w:top w:val="none" w:sz="0" w:space="0" w:color="auto"/>
        <w:left w:val="none" w:sz="0" w:space="0" w:color="auto"/>
        <w:bottom w:val="none" w:sz="0" w:space="0" w:color="auto"/>
        <w:right w:val="none" w:sz="0" w:space="0" w:color="auto"/>
      </w:divBdr>
    </w:div>
    <w:div w:id="210537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bie.lay@childrens.harvard.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567FC-8D46-44D3-B7CC-6F12E5F4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Boston Children's Hospital</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 Debbie</dc:creator>
  <cp:lastModifiedBy>Lay, Debbie</cp:lastModifiedBy>
  <cp:revision>2</cp:revision>
  <dcterms:created xsi:type="dcterms:W3CDTF">2024-11-27T17:55:00Z</dcterms:created>
  <dcterms:modified xsi:type="dcterms:W3CDTF">2024-11-27T17:55:00Z</dcterms:modified>
</cp:coreProperties>
</file>